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3261-2_4seq1.xml.htm"/>
      <w:bookmarkStart w:id="1" w:name="kstm2623261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 CUONG 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4F, BUILDING C14, NO. 218 XINGHU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SUZHOU JIANGSU</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215123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Adagene Inc.</w:t>
              </w:r>
            </w:hyperlink>
            <w:r>
              <w:rPr/>
              <w:t xml:space="preserve"> [ </w:t>
            </w:r>
            <w:r>
              <w:rPr>
                <w:rFonts w:ascii="Times;serif" w:hAnsi="Times;serif"/>
                <w:color w:val="0000FF"/>
                <w:sz w:val="24"/>
                <w:shd w:fill="FFFFFF" w:val="clear"/>
              </w:rPr>
              <w:t>ADAG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1235"/>
        <w:gridCol w:w="861"/>
        <w:gridCol w:w="891"/>
        <w:gridCol w:w="771"/>
        <w:gridCol w:w="591"/>
        <w:gridCol w:w="300"/>
        <w:gridCol w:w="711"/>
        <w:gridCol w:w="276"/>
        <w:gridCol w:w="906"/>
        <w:gridCol w:w="801"/>
        <w:gridCol w:w="861"/>
        <w:gridCol w:w="80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08/13/2036</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20,000 shares of stock option granted on August 13, 2026 under the Adagene Inc. 2021 Performance Incentive Plan, and the option shall vest on April 30, 2027 or the date of the next 20-F filing, whichever is earlier.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Cuong Do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7037" TargetMode="External"/><Relationship Id="rId5" Type="http://schemas.openxmlformats.org/officeDocument/2006/relationships/hyperlink" Target="http://www.sec.gov/cgi-bin/browse-edgar?action=getcompany&amp;CIK=00018188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3284</Characters>
  <CharactersWithSpaces>3825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