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333-287161​</w:t>
      </w:r>
    </w:p>
    <w:p>
      <w:pPr>
        <w:spacing w:after="0" w:line="2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(TO PROSPECTUS DATED May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2823210</wp:posOffset>
            </wp:positionH>
            <wp:positionV relativeFrom="paragraph">
              <wp:posOffset>58420</wp:posOffset>
            </wp:positionV>
            <wp:extent cx="116586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26543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6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5"/>
          <w:szCs w:val="25"/>
          <w:b w:val="1"/>
          <w:bCs w:val="1"/>
          <w:color w:val="auto"/>
        </w:rPr>
        <w:t>18,666,000 American Depositary Shares Representing 23,332,500 Ordinary Shares</w:t>
      </w:r>
    </w:p>
    <w:p>
      <w:pPr>
        <w:spacing w:after="0" w:line="71" w:lineRule="exact"/>
        <w:rPr>
          <w:sz w:val="24"/>
          <w:szCs w:val="24"/>
          <w:color w:val="auto"/>
        </w:rPr>
      </w:pPr>
    </w:p>
    <w:p>
      <w:pPr>
        <w:ind w:left="500" w:right="120" w:firstLine="360"/>
        <w:spacing w:after="0" w:line="264" w:lineRule="auto"/>
        <w:rPr>
          <w:sz w:val="20"/>
          <w:szCs w:val="20"/>
          <w:color w:val="auto"/>
        </w:rPr>
      </w:pPr>
      <w:r>
        <w:rPr>
          <w:rFonts w:ascii="Times New Roman" w:cs="Times New Roman" w:eastAsia="Times New Roman" w:hAnsi="Times New Roman"/>
          <w:sz w:val="17"/>
          <w:szCs w:val="17"/>
          <w:color w:val="auto"/>
        </w:rPr>
        <w:t>This prospectus supplement relates to an offering by us of an aggregate of 18,666,000 American depositary shares, or ADSs, each representing one and one quarter (1.25) of our ordinary shares, par value US$0.0001 per share, or Ordinary Shares.</w:t>
      </w:r>
    </w:p>
    <w:p>
      <w:pPr>
        <w:spacing w:after="0" w:line="15" w:lineRule="exact"/>
        <w:rPr>
          <w:sz w:val="24"/>
          <w:szCs w:val="24"/>
          <w:color w:val="auto"/>
        </w:rPr>
      </w:pPr>
    </w:p>
    <w:p>
      <w:pPr>
        <w:ind w:left="500" w:right="400" w:firstLine="360"/>
        <w:spacing w:after="0" w:line="264" w:lineRule="auto"/>
        <w:rPr>
          <w:sz w:val="20"/>
          <w:szCs w:val="20"/>
          <w:color w:val="auto"/>
        </w:rPr>
      </w:pPr>
      <w:r>
        <w:rPr>
          <w:rFonts w:ascii="Times New Roman" w:cs="Times New Roman" w:eastAsia="Times New Roman" w:hAnsi="Times New Roman"/>
          <w:sz w:val="17"/>
          <w:szCs w:val="17"/>
          <w:color w:val="auto"/>
        </w:rPr>
        <w:t>Our ADSs trade on The Nasdaq Global Market, or Nasdaq, under the trading symbol “ADAG”. On April 1, 2026, the last sale price of our ADSs as reported on Nasdaq was US$4.61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126365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6" w:lineRule="exact"/>
        <w:rPr>
          <w:sz w:val="24"/>
          <w:szCs w:val="24"/>
          <w:color w:val="auto"/>
        </w:rPr>
      </w:pPr>
    </w:p>
    <w:p>
      <w:pPr>
        <w:ind w:left="500" w:right="160" w:firstLine="360"/>
        <w:spacing w:after="0" w:line="248" w:lineRule="auto"/>
        <w:rPr>
          <w:sz w:val="20"/>
          <w:szCs w:val="20"/>
          <w:color w:val="auto"/>
        </w:rPr>
      </w:pPr>
      <w:r>
        <w:rPr>
          <w:rFonts w:ascii="Times New Roman" w:cs="Times New Roman" w:eastAsia="Times New Roman" w:hAnsi="Times New Roman"/>
          <w:sz w:val="17"/>
          <w:szCs w:val="17"/>
          <w:color w:val="auto"/>
        </w:rPr>
        <w:t xml:space="preserve">We are an emerging growth company as that term is used in the Jumpstart Our Business Startups Act of 2012, and, as such, are subject to certain reduced public company reporting requirements. See “Prospectus Supplement Summary — Implications of Being an Emerging Growth Company” on page </w:t>
      </w:r>
      <w:r>
        <w:rPr>
          <w:rFonts w:ascii="Times New Roman" w:cs="Times New Roman" w:eastAsia="Times New Roman" w:hAnsi="Times New Roman"/>
          <w:sz w:val="17"/>
          <w:szCs w:val="17"/>
          <w:u w:val="single" w:color="auto"/>
          <w:color w:val="0000EE"/>
        </w:rPr>
        <w:t>S-13</w:t>
      </w:r>
      <w:r>
        <w:rPr>
          <w:rFonts w:ascii="Times New Roman" w:cs="Times New Roman" w:eastAsia="Times New Roman" w:hAnsi="Times New Roman"/>
          <w:sz w:val="17"/>
          <w:szCs w:val="17"/>
          <w:color w:val="auto"/>
        </w:rPr>
        <w:t xml:space="preserve"> of this prospectus.</w:t>
      </w:r>
    </w:p>
    <w:p>
      <w:pPr>
        <w:spacing w:after="0" w:line="38" w:lineRule="exact"/>
        <w:rPr>
          <w:sz w:val="24"/>
          <w:szCs w:val="24"/>
          <w:color w:val="auto"/>
        </w:rPr>
      </w:pPr>
    </w:p>
    <w:p>
      <w:pPr>
        <w:ind w:left="500" w:right="18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Investing in the ADSs involves risk. See “Risk Factors” beginning on page </w:t>
      </w:r>
      <w:r>
        <w:rPr>
          <w:rFonts w:ascii="Times New Roman" w:cs="Times New Roman" w:eastAsia="Times New Roman" w:hAnsi="Times New Roman"/>
          <w:sz w:val="17"/>
          <w:szCs w:val="17"/>
          <w:b w:val="1"/>
          <w:bCs w:val="1"/>
          <w:u w:val="single" w:color="auto"/>
          <w:color w:val="0000EE"/>
        </w:rPr>
        <w:t>S-15</w:t>
      </w:r>
      <w:r>
        <w:rPr>
          <w:rFonts w:ascii="Times New Roman" w:cs="Times New Roman" w:eastAsia="Times New Roman" w:hAnsi="Times New Roman"/>
          <w:sz w:val="17"/>
          <w:szCs w:val="17"/>
          <w:b w:val="1"/>
          <w:bCs w:val="1"/>
          <w:color w:val="auto"/>
        </w:rPr>
        <w:t xml:space="preserve"> of this prospectus supplement and in the documents incorporated by reference into this prospectus supplement and the accompanying base prospectus for a discussion of certain risks that you should consider in connection with an investment in the ADSs.</w:t>
      </w:r>
    </w:p>
    <w:p>
      <w:pPr>
        <w:spacing w:after="0" w:line="28" w:lineRule="exact"/>
        <w:rPr>
          <w:sz w:val="24"/>
          <w:szCs w:val="24"/>
          <w:color w:val="auto"/>
        </w:rPr>
      </w:pPr>
    </w:p>
    <w:p>
      <w:pPr>
        <w:ind w:left="500" w:right="80" w:firstLine="360"/>
        <w:spacing w:after="0"/>
        <w:rPr>
          <w:sz w:val="20"/>
          <w:szCs w:val="20"/>
          <w:color w:val="auto"/>
        </w:rPr>
      </w:pPr>
      <w:r>
        <w:rPr>
          <w:rFonts w:ascii="Times New Roman" w:cs="Times New Roman" w:eastAsia="Times New Roman" w:hAnsi="Times New Roman"/>
          <w:sz w:val="17"/>
          <w:szCs w:val="17"/>
          <w:color w:val="auto"/>
        </w:rPr>
        <w:t>Investors in the ADSs are purchasing securities of a Cayman Islands holding company rather than securities of our subsidiaries that have substantive business operations in the United States or China. Adagene Inc. is a Cayman Islands holding company that conducts its operations and operates its business in the U.S. through its U.S. subsidiary, Adagene Incorporated. In addition, Adagene Inc. conducts its operations in China through its PRC subsidiary, Adagene (Suzhou) Limited, or Adagene Suzhou. Such structure involves unique legal and operational risks to investors in the ADSs and Ordinary Shares. In particular, 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the ADSs representing our Ordinary Shares or could significantly limit or completely hinder our ability to offer or continue to offer our Ordinary Shares represented by ADSs to investors and cause the value of such securities to significantly decline or become worthless. As we are a holding company with substantive business operations in China, you should pay special attention to disclosures included in our most recent annual report on Form 20-F incorporated by reference in this prospectus and risk factors included herein.</w:t>
      </w:r>
    </w:p>
    <w:p>
      <w:pPr>
        <w:spacing w:after="0" w:line="179" w:lineRule="exact"/>
        <w:rPr>
          <w:sz w:val="24"/>
          <w:szCs w:val="24"/>
          <w:color w:val="auto"/>
        </w:rPr>
      </w:pPr>
    </w:p>
    <w:p>
      <w:pPr>
        <w:ind w:left="500" w:right="60" w:firstLine="360"/>
        <w:spacing w:after="0"/>
        <w:rPr>
          <w:sz w:val="20"/>
          <w:szCs w:val="20"/>
          <w:color w:val="auto"/>
        </w:rPr>
      </w:pPr>
      <w:r>
        <w:rPr>
          <w:rFonts w:ascii="Times New Roman" w:cs="Times New Roman" w:eastAsia="Times New Roman" w:hAnsi="Times New Roman"/>
          <w:sz w:val="17"/>
          <w:szCs w:val="17"/>
          <w:color w:val="auto"/>
        </w:rPr>
        <w:t>In addition, our auditor is headquartered in mainland China, a jurisdiction where the Public Company Accounting Oversight Board, or PCAOB, was unable to conduct inspections without the approval of the Chinese authorities. Trading in our ADSs on the Nasdaq or over-the-counter may be prohibited, and as a result, our ADSs may be delisted under the Holding Foreign Companies Accountable Act, or HFCAA, if the PCAOB determines that it has been unable to inspect or investigate completely our auditor located in China for two consecutive years. On December 16, 2021, the PCAOB issued the HFCAA Determination Report to notify the SEC of its determinations, or 2021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do not expect to be identified as a “Commission-Identified Issuer” under the HFCAA in the near future.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 -Identified Issuer” under the HFCAA following the filing of the annual report for the relevant fiscal year, and if we were so identified for two consecutive years, trading in our securities on U.S. markets would be prohibited under the HFCAA.</w:t>
      </w:r>
    </w:p>
    <w:p>
      <w:pPr>
        <w:spacing w:after="0" w:line="140" w:lineRule="exact"/>
        <w:rPr>
          <w:sz w:val="24"/>
          <w:szCs w:val="24"/>
          <w:color w:val="auto"/>
        </w:rPr>
      </w:pPr>
    </w:p>
    <w:p>
      <w:pPr>
        <w:ind w:left="500" w:right="60" w:firstLine="360"/>
        <w:spacing w:after="0" w:line="236" w:lineRule="auto"/>
        <w:rPr>
          <w:sz w:val="20"/>
          <w:szCs w:val="20"/>
          <w:color w:val="auto"/>
        </w:rPr>
      </w:pPr>
      <w:r>
        <w:rPr>
          <w:rFonts w:ascii="Times New Roman" w:cs="Times New Roman" w:eastAsia="Times New Roman" w:hAnsi="Times New Roman"/>
          <w:sz w:val="17"/>
          <w:szCs w:val="17"/>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“Item 3. Key Information — 3.D. Risk Factors — Risks Related to Doing Business in China” in our most recent annual report on Form 20-F incorporated by reference in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229235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500" w:right="80" w:firstLine="360"/>
        <w:spacing w:after="0" w:line="243" w:lineRule="auto"/>
        <w:rPr>
          <w:sz w:val="20"/>
          <w:szCs w:val="20"/>
          <w:color w:val="auto"/>
        </w:rPr>
      </w:pPr>
      <w:r>
        <w:rPr>
          <w:rFonts w:ascii="Times New Roman" w:cs="Times New Roman" w:eastAsia="Times New Roman" w:hAnsi="Times New Roman"/>
          <w:sz w:val="17"/>
          <w:szCs w:val="17"/>
          <w:color w:val="auto"/>
        </w:rPr>
        <w:t>As used in this prospectus supplement, “Adagene” refers to Adagene Inc., a Cayman Islands exempted company with limited liability, “Adagene Incorporated” refers to Adagene Incorporated, our U.S. subsidiary, “Adagene Suzhou” refers to Adagene (Suzhou) Limited, a PRC incorporated company with limited liability, “Adagene Hong Kong” refers to Adagene (Hong Kong) Limited, our Hong Kong intermediary holding company, and “we,” “us,” “our company,” or “our” refers to Adagene Inc. and its subsidiaries.</w:t>
      </w:r>
    </w:p>
    <w:p>
      <w:pPr>
        <w:spacing w:after="0" w:line="32" w:lineRule="exact"/>
        <w:rPr>
          <w:sz w:val="20"/>
          <w:szCs w:val="20"/>
          <w:color w:val="auto"/>
        </w:rPr>
      </w:pPr>
    </w:p>
    <w:p>
      <w:pPr>
        <w:ind w:left="500" w:right="80" w:firstLine="360"/>
        <w:spacing w:after="0" w:line="233" w:lineRule="auto"/>
        <w:rPr>
          <w:sz w:val="20"/>
          <w:szCs w:val="20"/>
          <w:color w:val="auto"/>
        </w:rPr>
      </w:pPr>
      <w:r>
        <w:rPr>
          <w:rFonts w:ascii="Times New Roman" w:cs="Times New Roman" w:eastAsia="Times New Roman" w:hAnsi="Times New Roman"/>
          <w:sz w:val="17"/>
          <w:szCs w:val="17"/>
          <w:color w:val="auto"/>
        </w:rPr>
        <w:t>With a holding company structure, we currently rely principally on equity financing for our cash requirements, including the funds necessary to pay cash considerations for services we may incur. In the future, if we become profitable and generate cash flows from operating activities, we may rely principally on dividends and other distributions on equity from our U.S., PRC and other subsidiaries for our cash requirements, including the funds necessary to pay dividends and other cash distributions to our shareholders or for services of any debt we may incur. If any of our subsidiaries or any newly formed subsidiaries incur debt on their own behalf in the future, the instruments governing their debt may restrict their ability to pay dividends or make other distributions to us. In 2023, 2024 and 2025, Adagene Inc. made payments of US$20.5 million, US$16.3 million and US$28.5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2023, 2024 and 2025.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 In the future, cash proceeds raised from overseas financing activities, including this offering, may be transferred by Adagene Inc., the Cayman Islands holding company, (i) to Adagene Incorporated, our U.S. subsidiary,</w:t>
      </w:r>
    </w:p>
    <w:p>
      <w:pPr>
        <w:spacing w:after="0" w:line="7" w:lineRule="exact"/>
        <w:rPr>
          <w:sz w:val="20"/>
          <w:szCs w:val="20"/>
          <w:color w:val="auto"/>
        </w:rPr>
      </w:pPr>
    </w:p>
    <w:p>
      <w:pPr>
        <w:ind w:left="500" w:right="220" w:hanging="8"/>
        <w:spacing w:after="0"/>
        <w:tabs>
          <w:tab w:leader="none" w:pos="76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Adagene (Hong Kong) Limited, our Hong Kong subsidiary, to Adagene Suzhou, our PRC subsidiary and (iii) to other subsidiaries, via capital contribution, shareholder loans or consideration for the services rendered, as the case may be. Other than the above disclosed transfer of funds, we did not transfer any type of assets between Adagene Suzhou and other Adagene subsidiaries in 2023, 2024 or 2025. For risks associated with this structure, see “Item 3. Key Information — 3.D. Risk Factors — Risks Related to Doing Business in China — We may rely on dividends and other distributions on equity paid by our PRC subsidiary to fund any cash and financing requirements that we may have, and any limitation on the ability of our PRC subsidiary to make payments to us could have material and adverse effect on our ability to conduct our business” and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in our most recent annual report on Form 20-F incorporated by reference in this prospectus.</w:t>
      </w:r>
    </w:p>
    <w:p>
      <w:pPr>
        <w:spacing w:after="0" w:line="275" w:lineRule="exact"/>
        <w:rPr>
          <w:sz w:val="20"/>
          <w:szCs w:val="20"/>
          <w:color w:val="auto"/>
        </w:rPr>
      </w:pPr>
    </w:p>
    <w:tbl>
      <w:tblPr>
        <w:tblLayout w:type="fixed"/>
        <w:tblInd w:w="1040" w:type="dxa"/>
        <w:tblCellMar>
          <w:top w:w="0" w:type="dxa"/>
          <w:left w:w="0" w:type="dxa"/>
          <w:bottom w:w="0" w:type="dxa"/>
          <w:right w:w="0" w:type="dxa"/>
        </w:tblCellMar>
      </w:tblPr>
      <w:tr>
        <w:trPr>
          <w:trHeight w:val="379"/>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140" w:type="dxa"/>
            <w:vAlign w:val="bottom"/>
            <w:gridSpan w:val="5"/>
          </w:tcPr>
          <w:p>
            <w:pPr>
              <w:ind w:left="21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ADS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0"/>
        </w:trPr>
        <w:tc>
          <w:tcPr>
            <w:tcW w:w="45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9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 $3.750</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​$69,997,500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3"/>
                <w:szCs w:val="23"/>
                <w:color w:val="auto"/>
                <w:vertAlign w:val="superscript"/>
              </w:rPr>
              <w:t>(1)</w:t>
            </w:r>
          </w:p>
        </w:tc>
        <w:tc>
          <w:tcPr>
            <w:tcW w:w="29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 $0.225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$4,199,850​</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9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 ​ $3.525</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​$65,797,650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-694055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-513715</wp:posOffset>
            </wp:positionV>
            <wp:extent cx="4894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120015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2" w:lineRule="exact"/>
        <w:rPr>
          <w:sz w:val="20"/>
          <w:szCs w:val="20"/>
          <w:color w:val="auto"/>
        </w:rPr>
      </w:pPr>
    </w:p>
    <w:p>
      <w:pPr>
        <w:ind w:left="860" w:hanging="368"/>
        <w:spacing w:after="0"/>
        <w:tabs>
          <w:tab w:leader="none" w:pos="8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79" w:lineRule="exact"/>
        <w:rPr>
          <w:sz w:val="20"/>
          <w:szCs w:val="20"/>
          <w:color w:val="auto"/>
        </w:rPr>
      </w:pPr>
    </w:p>
    <w:p>
      <w:pPr>
        <w:ind w:left="500" w:right="18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The underwriters expect to deliver the ADSs against payment in New York, New York on or about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163830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ectPr>
          <w:pgSz w:w="11900" w:h="16838" w:orient="portrait"/>
          <w:cols w:equalWidth="0" w:num="1">
            <w:col w:w="10300"/>
          </w:cols>
          <w:pgMar w:left="580" w:top="97" w:right="1019" w:bottom="1440" w:gutter="0" w:footer="0" w:header="0"/>
        </w:sectPr>
      </w:pP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Leerink Partners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31"/>
          <w:szCs w:val="31"/>
          <w:b w:val="1"/>
          <w:bCs w:val="1"/>
          <w:color w:val="auto"/>
        </w:rPr>
        <w:t>LifeSci Capital</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0" w:lineRule="exact"/>
        <w:rPr>
          <w:sz w:val="20"/>
          <w:szCs w:val="20"/>
          <w:color w:val="auto"/>
        </w:rPr>
      </w:pPr>
    </w:p>
    <w:p>
      <w:pPr>
        <w:sectPr>
          <w:pgSz w:w="11900" w:h="16838" w:orient="portrait"/>
          <w:cols w:equalWidth="0" w:num="5">
            <w:col w:w="1000" w:space="720"/>
            <w:col w:w="2860" w:space="720"/>
            <w:col w:w="820" w:space="720"/>
            <w:col w:w="2660" w:space="720"/>
            <w:col w:w="80"/>
          </w:cols>
          <w:pgMar w:left="580" w:top="97" w:right="1019" w:bottom="1440" w:gutter="0" w:footer="0" w:header="0"/>
          <w:type w:val="continuous"/>
        </w:sectPr>
      </w:pPr>
    </w:p>
    <w:p>
      <w:pPr>
        <w:spacing w:after="0" w:line="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Co-Manager</w:t>
      </w:r>
    </w:p>
    <w:p>
      <w:pPr>
        <w:spacing w:after="0" w:line="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Lucid Capital Markets</w:t>
      </w:r>
    </w:p>
    <w:p>
      <w:pPr>
        <w:spacing w:after="0" w:line="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Prospectus supplement dated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1531620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208"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44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 and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 and Memorandum and Articles of Association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Forms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American Depositary Shares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into this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supplement or in any free writing prospectus is accurate as of any date other than the respective dates thereof. Our business, financial condition, results of operations and prospects may have changed since those dates.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base prospectus, which is part of a registration statement that we filed with the SEC using a “shelf” registration process. The accompanying base prospectus describes the general terms of the securities that may be offered pursuant to the accompanying base prospectus and the general manner in which those securities will be offered, some of which may not apply to this offering. This prospectus supplement and the information incorporated by reference in this prospectus supplement supplements, updates and amends the information contained in the accompanying base prospectus.</w:t>
      </w:r>
    </w:p>
    <w:p>
      <w:pPr>
        <w:spacing w:after="0" w:line="33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offered by this prospectus supplement, you should carefully read both this prospectus supplement and the accompanying base prospectus, together with all of the information incorporated by reference in this prospectus supplement,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324"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base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base prospectus or any document incorporated by reference in this prospectus supplement is accurate only as of their respective dates, regardless of the time of delivery of this prospectus supplement, the accompanying base prospectus or the documents incorporated by reference in this prospectus supplement or in the accompanying base prospectus or the sale of any securities. Our business, financial condition, results of operations and prospects may have changed materially since those dates.</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that is different from that contained or incorporated by reference in this prospectus supplement, the accompanying base prospectus, or any free writing prospectus we may authorize to be delivered or made available to you. Neither we nor the underwriters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1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underwriters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that reflect our current expectations and views of future events. All statements other than statements of historical facts are forward-looking statements. These forward-looking statements are made under the “safe harbor” provision under</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Section 21E of the Securities Exchange Act of 1934, as amended, or the Exchange Act, and as defined in the Private Securities Litigation Reform Act of 1995. These statements involve known and unknown risks, uncertainties and other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outbreak of a widespread health epidemic on Adagene’s clinical development, commercial and other operations, as well as those risks more fully discussed in the “Risk Factors” section in Adagene’s filings with the SEC. Such known and unknown risks, uncertainties and other factors may cause our actual results, performance or achievements to be materially different from those expressed or implied by the forward-looking statements. In some cases, you can identify these forward-looking statements by terminology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about:</w:t>
      </w:r>
    </w:p>
    <w:p>
      <w:pPr>
        <w:spacing w:after="0" w:line="117"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preclinical studies, clinical trials and our discovery programs;</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proprietary Dynamic Precision Library platform, or DPL, to design, construct and develop next-generation antibodies;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who suffer from the diseases we are targeting and the number of patients that may enroll in our clinical trials;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commercializing of our product candidates, if approved;</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strategic arrangements and/or collaborations and the potential benefits of such arrangements;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 our ability to obtain additional capital;</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retain additional qualified professionals;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such as our proprietary DPL, which includes NEObody platform, SAFEbody platform and POWERbody technology platforms, product candidates and discovery programs;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the outbreak of a widespread health epidemic on our business and operations and on development of our clinical and preclinical programs, and the duration and impact of such widespread health epidemic or any of its variants that may affect, precipitate or exacerbate one or more of any of the risks and uncertainties mentioned in this prospectus supplement;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markets we have businesses;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herein, in the accompanying base prospectus, and in the documents incorporated by reference therein, and other risks outlined in our other filings with the Securities and Exchange Commission, or the SEC. Those risks are not exhaustive. We operate in an evolving environment. New risks emerge from time to time and it is impossible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in the documents we incorporate by reference. This summary does not contain all of the information you should consider before making an investment decision. You should read this entire prospectus supplement carefully, especially the risks of investing in our Ordinary Shares or ADSs discussed under “Risk Factors” beginning on page </w:t>
      </w:r>
      <w:r>
        <w:rPr>
          <w:rFonts w:ascii="Times New Roman" w:cs="Times New Roman" w:eastAsia="Times New Roman" w:hAnsi="Times New Roman"/>
          <w:sz w:val="18"/>
          <w:szCs w:val="18"/>
          <w:i w:val="1"/>
          <w:iCs w:val="1"/>
          <w:u w:val="single" w:color="auto"/>
          <w:color w:val="0000EE"/>
        </w:rPr>
        <w:t>S-15</w:t>
      </w:r>
      <w:r>
        <w:rPr>
          <w:rFonts w:ascii="Times New Roman" w:cs="Times New Roman" w:eastAsia="Times New Roman" w:hAnsi="Times New Roman"/>
          <w:sz w:val="18"/>
          <w:szCs w:val="18"/>
          <w:i w:val="1"/>
          <w:iCs w:val="1"/>
          <w:color w:val="auto"/>
        </w:rPr>
        <w:t xml:space="preserve"> of this prospectus supplement, along with our consolidated financial statements and notes to those consolidated financial statements and the other information incorporated by reference in this prospectus supplement.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39" w:firstLine="360"/>
        <w:spacing w:after="0" w:line="231" w:lineRule="auto"/>
        <w:rPr>
          <w:sz w:val="20"/>
          <w:szCs w:val="20"/>
          <w:color w:val="auto"/>
        </w:rPr>
      </w:pPr>
      <w:r>
        <w:rPr>
          <w:rFonts w:ascii="Times New Roman" w:cs="Times New Roman" w:eastAsia="Times New Roman" w:hAnsi="Times New Roman"/>
          <w:sz w:val="18"/>
          <w:szCs w:val="18"/>
          <w:color w:val="auto"/>
        </w:rPr>
        <w:t>We are a platform-driven, clinical-stage biotechnology company dedicated to transforming the discovery and development of novel antibody-based cancer immunotherapies. We leverage computational biology to design and develop novel antibodies that address unmet patient needs. Powered by our proprietary Dynamic Precision Library (DPL) platform, which fuels our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technologies, we are developing a highly differentiated pipeline of novel immunotherapies.</w:t>
      </w:r>
    </w:p>
    <w:p>
      <w:pPr>
        <w:spacing w:after="0" w:line="2" w:lineRule="exact"/>
        <w:rPr>
          <w:sz w:val="20"/>
          <w:szCs w:val="20"/>
          <w:color w:val="auto"/>
        </w:rPr>
      </w:pPr>
    </w:p>
    <w:p>
      <w:pPr>
        <w:ind w:left="1280" w:right="459"/>
        <w:spacing w:after="0" w:line="241" w:lineRule="auto"/>
        <w:rPr>
          <w:sz w:val="20"/>
          <w:szCs w:val="20"/>
          <w:color w:val="auto"/>
        </w:rPr>
      </w:pPr>
      <w:r>
        <w:rPr>
          <w:rFonts w:ascii="Times New Roman" w:cs="Times New Roman" w:eastAsia="Times New Roman" w:hAnsi="Times New Roman"/>
          <w:sz w:val="18"/>
          <w:szCs w:val="18"/>
          <w:color w:val="auto"/>
        </w:rPr>
        <w:t>Our lead candidate is an anti-CTLA-4 SAFEbody, ADG126 (muzastotug), which is currently in phase 1b/2 and phase 2 clinical development, and focused initially on metastatic microsatellite -stable (MSS) colorectal cancer (CRC). We also have a robust pipeline of earlier stage candidates that apply our NEObody and SAFEbody technologies to targets associated with toxicity challenges, including modalities with potent efficacy features, such as Fc-empowered antibodies (e.g., IgG1 isotype and its enhanced version) and bi/multispecific T-cell engagers. Additionally, we have forged strategic collaborations with reputable global partners that leverage our SAFEbody technology in multiple approaches at the vanguard of science.</w:t>
      </w:r>
    </w:p>
    <w:p>
      <w:pPr>
        <w:spacing w:after="0" w:line="118"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color w:val="auto"/>
        </w:rPr>
        <w:t>We aim to push the boundaries of antibody discovery and engineering through the precise design, construction, and selection of antibody product candidates intractable to traditional antibody technology. We have pioneered a dynamic antibody technology interface to harness the conformational diversity of antibodies, which enlarges epitope sampling of a given drug target for differentiated therapeutic antibody development. Additionally, we have proprietary precision masking technology and specialized antibody engineering capabilities which enable us to design therapeutics with unique features.</w:t>
      </w:r>
    </w:p>
    <w:p>
      <w:pPr>
        <w:spacing w:after="0" w:line="114" w:lineRule="exact"/>
        <w:rPr>
          <w:sz w:val="20"/>
          <w:szCs w:val="20"/>
          <w:color w:val="auto"/>
        </w:rPr>
      </w:pPr>
    </w:p>
    <w:p>
      <w:pPr>
        <w:ind w:left="1280" w:right="839" w:firstLine="360"/>
        <w:spacing w:after="0" w:line="282" w:lineRule="auto"/>
        <w:rPr>
          <w:sz w:val="20"/>
          <w:szCs w:val="20"/>
          <w:color w:val="auto"/>
        </w:rPr>
      </w:pPr>
      <w:r>
        <w:rPr>
          <w:rFonts w:ascii="Times New Roman" w:cs="Times New Roman" w:eastAsia="Times New Roman" w:hAnsi="Times New Roman"/>
          <w:sz w:val="18"/>
          <w:szCs w:val="18"/>
          <w:color w:val="auto"/>
        </w:rPr>
        <w:t>Our DPL fuels three antibody technology platforms, which can be used alone or together to create novel, differentiated antibody-based therapeutic candidates:</w:t>
      </w:r>
    </w:p>
    <w:p>
      <w:pPr>
        <w:spacing w:after="0" w:line="40" w:lineRule="exact"/>
        <w:rPr>
          <w:sz w:val="20"/>
          <w:szCs w:val="20"/>
          <w:color w:val="auto"/>
        </w:rPr>
      </w:pPr>
    </w:p>
    <w:p>
      <w:pPr>
        <w:ind w:left="1820" w:right="479" w:hanging="182"/>
        <w:spacing w:after="0" w:line="254"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NEObody technology platform is a fully synthetic phage display and yeast display-based antibody discovery technology, which we believe is differentiated from other synthetic antibody technologies through its innovative designs and precise constructions. NEObody technology enables the generation of antibodies designed with dynamic binding sites that adapt kinetically to unique epitopes, triggering a novel MOA. The species cross-reactive antibodies generated by NEObody technology not only have the potential to reveal new biological functions of the targets, but also facilitate preclinical studies using various immune system intact animal models, resulting in high fidelity translation from preclinical to clinical studies. We refer to antibodies generated by our NEObody technology as NEObodies.</w:t>
      </w:r>
    </w:p>
    <w:p>
      <w:pPr>
        <w:spacing w:after="0" w:line="286" w:lineRule="exact"/>
        <w:rPr>
          <w:rFonts w:ascii="Times New Roman" w:cs="Times New Roman" w:eastAsia="Times New Roman" w:hAnsi="Times New Roman"/>
          <w:sz w:val="18"/>
          <w:szCs w:val="18"/>
          <w:color w:val="auto"/>
        </w:rPr>
      </w:pPr>
    </w:p>
    <w:p>
      <w:pPr>
        <w:ind w:left="1820" w:right="459" w:hanging="182"/>
        <w:spacing w:after="0" w:line="253"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SAFEbody technology platform is designed to mask an antibody binding interface with a masking motif, which then prevents an antibody from binding to its target in healthy tissues, minimizing on target, off tumor toxicities. The masking motif is designed to activate, or unmask, the antibody to allow binding in the tumor microenvironment, or TME, where certain activation conditions such as a protease is upregulated as compared to healthy tissues, allowing the antibody to bind to its target for tumor killing. Our SAFEbody enabled therapeutic candidates are therefore designed to be activated predominantly in the TME while remaining largely in an inactive state in healthy tissues. Our SAFEbody technology can be applied to mask the binding sites of any antibodies including but not limited to NEObodies. We refer to such masked antibodies as SAFEbodies. Notably, SAFEbody technology can be applied to our NEObodies, such as what we did with ADG116 to potentially achieve an increased therapeutic index with ADG126.</w:t>
      </w:r>
    </w:p>
    <w:p>
      <w:pPr>
        <w:spacing w:after="0" w:line="83" w:lineRule="exact"/>
        <w:rPr>
          <w:rFonts w:ascii="Times New Roman" w:cs="Times New Roman" w:eastAsia="Times New Roman" w:hAnsi="Times New Roman"/>
          <w:sz w:val="18"/>
          <w:szCs w:val="18"/>
          <w:color w:val="auto"/>
        </w:rPr>
      </w:pPr>
    </w:p>
    <w:p>
      <w:pPr>
        <w:ind w:left="1820" w:right="73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POWERbody technology platform enables the creation of new versions of antibodies, which may be bi/multi-specific T-cell engagers, or TCEs, or Fc-enhanced antibodies, antibody-drug conjugates, or ADCs, or antibodies that are designed to reach beyond the therapeutic potency of</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19"/>
        <w:spacing w:after="0" w:line="258" w:lineRule="auto"/>
        <w:rPr>
          <w:sz w:val="20"/>
          <w:szCs w:val="20"/>
          <w:color w:val="auto"/>
        </w:rPr>
      </w:pPr>
      <w:r>
        <w:rPr>
          <w:rFonts w:ascii="Times New Roman" w:cs="Times New Roman" w:eastAsia="Times New Roman" w:hAnsi="Times New Roman"/>
          <w:sz w:val="18"/>
          <w:szCs w:val="18"/>
          <w:color w:val="auto"/>
        </w:rPr>
        <w:t>traditional monospecific antibodies. Our POWERbody candidates incorporate SAFEbody precision masking technology and are designed to improve antitumor activity while maintaining the enhanced safety profile for potentially safe and durable immunotherapies.</w:t>
      </w:r>
    </w:p>
    <w:p>
      <w:pPr>
        <w:spacing w:after="0" w:line="102"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These proprietary technology platforms allow us to engineer and select species cross- reactive antibodies designed to dynamically adapt to unique and evolutionally conserved epitopes. We believe that comprehensive in vivo preclinical evaluations using these species cross-reactive antibodies are the key to assess the efficacy and safety potential of tailor-made antibody candidates before progressing them into lengthy and costly clinical trials. Our NEObody, SAFEbody and POWERbody technology platforms are all designed to facilitate favorable druggability, manageable CMC attributes, and reduced immunogenicity.</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Robust, Transformative Pipeline</w:t>
      </w:r>
    </w:p>
    <w:p>
      <w:pPr>
        <w:spacing w:after="0" w:line="162" w:lineRule="exact"/>
        <w:rPr>
          <w:sz w:val="20"/>
          <w:szCs w:val="20"/>
          <w:color w:val="auto"/>
        </w:rPr>
      </w:pPr>
    </w:p>
    <w:p>
      <w:pPr>
        <w:ind w:left="1280" w:right="659" w:firstLine="360"/>
        <w:spacing w:after="0" w:line="250" w:lineRule="auto"/>
        <w:rPr>
          <w:sz w:val="20"/>
          <w:szCs w:val="20"/>
          <w:color w:val="auto"/>
        </w:rPr>
      </w:pPr>
      <w:r>
        <w:rPr>
          <w:rFonts w:ascii="Times New Roman" w:cs="Times New Roman" w:eastAsia="Times New Roman" w:hAnsi="Times New Roman"/>
          <w:sz w:val="18"/>
          <w:szCs w:val="18"/>
          <w:color w:val="auto"/>
        </w:rPr>
        <w:t>By leveraging our proprietary DPL and three platform technologies, we have developed a robust pipeline of innovative product candidates in various stages of development, including our lead candidate, ADG126 SAFEbody which is currently in phase 1b/2 and phase 2 clinical development.</w:t>
      </w:r>
    </w:p>
    <w:p>
      <w:pPr>
        <w:spacing w:after="0" w:line="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ADG126 (muzastotug) is a fully human anti-CTLA-4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applies SAFEbody precision</w:t>
      </w:r>
    </w:p>
    <w:p>
      <w:pPr>
        <w:ind w:left="1280" w:right="599"/>
        <w:spacing w:after="0" w:line="239" w:lineRule="auto"/>
        <w:rPr>
          <w:sz w:val="20"/>
          <w:szCs w:val="20"/>
          <w:color w:val="auto"/>
        </w:rPr>
      </w:pPr>
      <w:r>
        <w:rPr>
          <w:rFonts w:ascii="Times New Roman" w:cs="Times New Roman" w:eastAsia="Times New Roman" w:hAnsi="Times New Roman"/>
          <w:sz w:val="18"/>
          <w:szCs w:val="18"/>
          <w:color w:val="auto"/>
        </w:rPr>
        <w:t>masking technology to its parental unmasked version, ADG116, to further enhance safety and efficacy profiles by masking the antibody binding site which is then conditionally activated in the TME to limit on target, off tumor toxicity.</w:t>
      </w:r>
    </w:p>
    <w:p>
      <w:pPr>
        <w:spacing w:after="0" w:line="118" w:lineRule="exact"/>
        <w:rPr>
          <w:sz w:val="20"/>
          <w:szCs w:val="20"/>
          <w:color w:val="auto"/>
        </w:rPr>
      </w:pPr>
    </w:p>
    <w:p>
      <w:pPr>
        <w:ind w:left="1280" w:right="439" w:firstLine="360"/>
        <w:spacing w:after="0"/>
        <w:rPr>
          <w:sz w:val="20"/>
          <w:szCs w:val="20"/>
          <w:color w:val="auto"/>
        </w:rPr>
      </w:pPr>
      <w:r>
        <w:rPr>
          <w:rFonts w:ascii="Times New Roman" w:cs="Times New Roman" w:eastAsia="Times New Roman" w:hAnsi="Times New Roman"/>
          <w:sz w:val="18"/>
          <w:szCs w:val="18"/>
          <w:color w:val="auto"/>
        </w:rPr>
        <w:t>ADG126 targets a unique epitope of CTLA-4 and is designed to provide an enhanced therapeutic window and optimize efficacy by enabling higher, more frequent and repeated doses of anti-CTLA -4 therapy with constant target engagement that may unlock the full potential of CTLA-4 as a proven target for strong ADCC-mediated Treg depletion in the TME. ADG126 has shown a potential best-in-class profile in clinic, which is consistent with and enabled by the broad species cross-reactivity of ADG126 for extensive preclinical evaluation from mouse, rats and monkeys, including GLP toxicology data. ADG126 is currently in phase 1b/2 and phase 2 clinical development, with a focus on randomized phase 2 dose-optimization study in combination with Merck’s (known as MSD outside of the US and Canada) anti-PD-1 therapy,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advanced/metastatic MSS CRC. In 2025, we had a productive Type B (end of phase 1) meeting and we believe we gained regulatory alignment with the US Food and Drug Administration (FDA) on phase 2 and phase 3 trial design elements including dosing regimen, patient population, primary and secondary endpoints. The FDA has since designated ADG126, in combination with pembrolizumab, as a Fast Track product for adult patients with metastatic MSS CRC without current or active liver metastases. In February 2025, we announced an investigator initiated phase 2 neoadjuvant trial of ADG126 for patients with stage II or stage III colorectal cancer. In addition, Sanofi is sponsoring a phase 1b/2 dose escalation and expansion study of ADG126 in combination with SAR445877 (Sanofi’s PD-1 x IL-15 fusion protein) on adults with advanced solid tumors.</w:t>
      </w:r>
    </w:p>
    <w:p>
      <w:pPr>
        <w:spacing w:after="0" w:line="247" w:lineRule="exact"/>
        <w:rPr>
          <w:sz w:val="20"/>
          <w:szCs w:val="20"/>
          <w:color w:val="auto"/>
        </w:rPr>
      </w:pPr>
    </w:p>
    <w:p>
      <w:pPr>
        <w:ind w:left="1280" w:right="459" w:firstLine="360"/>
        <w:spacing w:after="0" w:line="219" w:lineRule="auto"/>
        <w:rPr>
          <w:sz w:val="20"/>
          <w:szCs w:val="20"/>
          <w:color w:val="auto"/>
        </w:rPr>
      </w:pPr>
      <w:r>
        <w:rPr>
          <w:rFonts w:ascii="Times New Roman" w:cs="Times New Roman" w:eastAsia="Times New Roman" w:hAnsi="Times New Roman"/>
          <w:sz w:val="18"/>
          <w:szCs w:val="18"/>
          <w:color w:val="auto"/>
        </w:rPr>
        <w:t>Earlier stage candidates that apply our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precision masking technology include ADG206, a masked, Fc-enhanced anti-CD137 agonistic POWERbody. ADG206 incorporates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precision masking technology and is designed to achieve improved safety and efficacy. ADG206 has demonstrated enhanced crosslinking by FcγRIIb in vitro upon activation and antitumor activity in vivo, while the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masking technology limits on-target off-tumor toxicities by preferential activation in the TME. Preclinical data demonstrated that ADG206 was well tolerated, with normal pharmacokinetic properties and minimal activation in circulation. It also had robust anti-tumor activity as a single agent in multiple tumor models, with 4-fold stronger anti-CD137 agonistic activity of its activated form than a benchmark antibody (urelumab analog). ADG206 monotherapy demonstrated favorable safety data in phase 1 evaluation.</w:t>
      </w:r>
    </w:p>
    <w:p>
      <w:pPr>
        <w:spacing w:after="0" w:line="122" w:lineRule="exact"/>
        <w:rPr>
          <w:sz w:val="20"/>
          <w:szCs w:val="20"/>
          <w:color w:val="auto"/>
        </w:rPr>
      </w:pPr>
    </w:p>
    <w:p>
      <w:pPr>
        <w:ind w:left="1280" w:right="919" w:firstLine="360"/>
        <w:spacing w:after="0" w:line="214" w:lineRule="auto"/>
        <w:rPr>
          <w:sz w:val="20"/>
          <w:szCs w:val="20"/>
          <w:color w:val="auto"/>
        </w:rPr>
      </w:pPr>
      <w:r>
        <w:rPr>
          <w:rFonts w:ascii="Times New Roman" w:cs="Times New Roman" w:eastAsia="Times New Roman" w:hAnsi="Times New Roman"/>
          <w:sz w:val="18"/>
          <w:szCs w:val="18"/>
          <w:color w:val="auto"/>
        </w:rPr>
        <w:t>Additionally, we have two IND-ready preclinical programs (ADG138, a novel HER2xCD3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bispecific TCE that is masked on both arms, and ADG153, a masked, IgG1 anti-CD47</w:t>
      </w:r>
    </w:p>
    <w:p>
      <w:pPr>
        <w:spacing w:after="0" w:line="1" w:lineRule="exact"/>
        <w:rPr>
          <w:sz w:val="20"/>
          <w:szCs w:val="20"/>
          <w:color w:val="auto"/>
        </w:rPr>
      </w:pPr>
    </w:p>
    <w:p>
      <w:pPr>
        <w:ind w:left="1280" w:right="459"/>
        <w:spacing w:after="0" w:line="213" w:lineRule="auto"/>
        <w:rPr>
          <w:sz w:val="20"/>
          <w:szCs w:val="20"/>
          <w:color w:val="auto"/>
        </w:rPr>
      </w:pPr>
      <w:r>
        <w:rPr>
          <w:rFonts w:ascii="Times New Roman" w:cs="Times New Roman" w:eastAsia="Times New Roman" w:hAnsi="Times New Roman"/>
          <w:sz w:val="18"/>
          <w:szCs w:val="18"/>
          <w:color w:val="auto"/>
        </w:rPr>
        <w:t>SAFEbody), as well as another preclinical program (ADG152, a CD20xCD3 POWERbody with masking on the CD3 arm) in the IND-enabling phase. We have multiple masked T-cell engagers in discovery. We are developing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TCEs with co-stimulatory signal such as CD28, enabled by our suite of antibody</w:t>
      </w:r>
    </w:p>
    <w:p>
      <w:pPr>
        <w:spacing w:after="0" w:line="2" w:lineRule="exact"/>
        <w:rPr>
          <w:sz w:val="20"/>
          <w:szCs w:val="20"/>
          <w:color w:val="auto"/>
        </w:rPr>
      </w:pPr>
    </w:p>
    <w:p>
      <w:pPr>
        <w:ind w:left="1280" w:right="619"/>
        <w:spacing w:after="0" w:line="242" w:lineRule="auto"/>
        <w:rPr>
          <w:sz w:val="20"/>
          <w:szCs w:val="20"/>
          <w:color w:val="auto"/>
        </w:rPr>
      </w:pPr>
      <w:r>
        <w:rPr>
          <w:rFonts w:ascii="Times New Roman" w:cs="Times New Roman" w:eastAsia="Times New Roman" w:hAnsi="Times New Roman"/>
          <w:sz w:val="18"/>
          <w:szCs w:val="18"/>
          <w:color w:val="auto"/>
        </w:rPr>
        <w:t>platform technologies. We have previously published preclinical data showing the scientific rationale for these differentiated programs. See “Item 4.B. Business Overview — IND -Ready Candidates &amp; Preclinical Pipeline” in our most recent annual report on Form 20-F incorporated by reference in this prospectus supplement.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firstLine="360"/>
        <w:spacing w:after="0" w:line="250" w:lineRule="auto"/>
        <w:rPr>
          <w:sz w:val="20"/>
          <w:szCs w:val="20"/>
          <w:color w:val="auto"/>
        </w:rPr>
      </w:pPr>
      <w:r>
        <w:rPr>
          <w:rFonts w:ascii="Times New Roman" w:cs="Times New Roman" w:eastAsia="Times New Roman" w:hAnsi="Times New Roman"/>
          <w:sz w:val="18"/>
          <w:szCs w:val="18"/>
          <w:color w:val="auto"/>
        </w:rPr>
        <w:t>We also have two clinical-stage NEObody product candidates, ADG116 and ADG106, for which we have conducted previous clinical studies that demonstrate the potential clinical benefits of targeting a unique epitope with our NEObody platform. ADG116 is clinically active and ready to advance into further clinical development as resources allow. ADG106 has been deprioritized.</w:t>
      </w:r>
    </w:p>
    <w:p>
      <w:pPr>
        <w:spacing w:after="0" w:line="110" w:lineRule="exact"/>
        <w:rPr>
          <w:sz w:val="20"/>
          <w:szCs w:val="20"/>
          <w:color w:val="auto"/>
        </w:rPr>
      </w:pPr>
    </w:p>
    <w:p>
      <w:pPr>
        <w:ind w:left="1280" w:right="659" w:firstLine="360"/>
        <w:spacing w:after="0" w:line="250" w:lineRule="auto"/>
        <w:rPr>
          <w:sz w:val="20"/>
          <w:szCs w:val="20"/>
          <w:color w:val="auto"/>
        </w:rPr>
      </w:pPr>
      <w:r>
        <w:rPr>
          <w:rFonts w:ascii="Times New Roman" w:cs="Times New Roman" w:eastAsia="Times New Roman" w:hAnsi="Times New Roman"/>
          <w:sz w:val="18"/>
          <w:szCs w:val="18"/>
          <w:color w:val="auto"/>
        </w:rPr>
        <w:t>Further, we have out-licensed the Greater China rights of ADG104, an anti-PD-L1 mAb currently in phase 2 clinical development, to Sanjin, and the Greater China rights of ADG125, a novel anti -CSF-1R mAb in phase 2 development, to Dragon Boat Biopharmaceuticals. We have the right to apply for the patents derived from our core and key technologies pertaining to ADG104 and ADG125 in the rest of the world, where we retain a majority of the economic benefits.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Global Partnerships and Collaborations</w:t>
      </w:r>
    </w:p>
    <w:p>
      <w:pPr>
        <w:spacing w:after="0" w:line="162"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 successful track record of collaborations and partnerships with global biopharmaceutical companies and academic institutions. So far, we have established multiple collaborations and we continue to seek partnership opportunities where we can leverage our proprietary technology platform to develop novel antibodies to address unmet medical needs.</w:t>
      </w:r>
    </w:p>
    <w:p>
      <w:pPr>
        <w:spacing w:after="0" w:line="110" w:lineRule="exact"/>
        <w:rPr>
          <w:sz w:val="20"/>
          <w:szCs w:val="20"/>
          <w:color w:val="auto"/>
        </w:rPr>
      </w:pPr>
    </w:p>
    <w:p>
      <w:pPr>
        <w:ind w:left="1280" w:right="499" w:firstLine="360"/>
        <w:spacing w:after="0" w:line="245" w:lineRule="auto"/>
        <w:rPr>
          <w:sz w:val="20"/>
          <w:szCs w:val="20"/>
          <w:color w:val="auto"/>
        </w:rPr>
      </w:pPr>
      <w:r>
        <w:rPr>
          <w:rFonts w:ascii="Times New Roman" w:cs="Times New Roman" w:eastAsia="Times New Roman" w:hAnsi="Times New Roman"/>
          <w:sz w:val="18"/>
          <w:szCs w:val="18"/>
          <w:color w:val="auto"/>
        </w:rPr>
        <w:t>We enter into collaborations with biotechnology and pharmaceutical companies to leverage the power of our technology platforms, creating a network of potential future revenue streams that complement future long-term value from our wholly-owned pipeline. These collaborations include both technology licensing agreements and outlicensing of product candidates, both of which allow us to retain significant future participation in product sales through royalties paid on net sales. In the future, we may also enter into strategic collaborations which may involve joint development for our preclinical and/or clinical assets to both accelerate the path to clinic and drive global commercialization.</w:t>
      </w:r>
    </w:p>
    <w:p>
      <w:pPr>
        <w:spacing w:after="0" w:line="114" w:lineRule="exact"/>
        <w:rPr>
          <w:sz w:val="20"/>
          <w:szCs w:val="20"/>
          <w:color w:val="auto"/>
        </w:rPr>
      </w:pPr>
    </w:p>
    <w:p>
      <w:pPr>
        <w:ind w:left="1280" w:right="759" w:firstLine="360"/>
        <w:spacing w:after="0" w:line="266" w:lineRule="auto"/>
        <w:rPr>
          <w:sz w:val="20"/>
          <w:szCs w:val="20"/>
          <w:color w:val="auto"/>
        </w:rPr>
      </w:pPr>
      <w:r>
        <w:rPr>
          <w:rFonts w:ascii="Times New Roman" w:cs="Times New Roman" w:eastAsia="Times New Roman" w:hAnsi="Times New Roman"/>
          <w:sz w:val="18"/>
          <w:szCs w:val="18"/>
          <w:color w:val="auto"/>
        </w:rPr>
        <w:t>Our technology licensing agreements with Sanofi and Exelixis focus on developing antibody-based therapeutics against tumor targets using our SAFEbody technology. In 2025:</w:t>
      </w:r>
    </w:p>
    <w:p>
      <w:pPr>
        <w:spacing w:after="0" w:line="54" w:lineRule="exact"/>
        <w:rPr>
          <w:sz w:val="20"/>
          <w:szCs w:val="20"/>
          <w:color w:val="auto"/>
        </w:rPr>
      </w:pPr>
    </w:p>
    <w:p>
      <w:pPr>
        <w:ind w:left="1820" w:right="12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exercised its option for a third SAFEbody discovery program, building on the 2022 collaboration.</w:t>
      </w:r>
    </w:p>
    <w:p>
      <w:pPr>
        <w:spacing w:after="0" w:line="40"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a third masked ADC program with Exelixis against a solid tumor target, building on the 2021 collaboration.</w:t>
      </w:r>
    </w:p>
    <w:p>
      <w:pPr>
        <w:spacing w:after="0" w:line="40"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Third Arc Bio to develop two masked CD3 T cell engagers, expanding SAFEbody into next-generation T cell therapies.</w:t>
      </w:r>
    </w:p>
    <w:p>
      <w:pPr>
        <w:spacing w:after="0" w:line="40"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collaborated with ConjugateBio on bispecific ADCs using Adagene-derived antibody, further demonstrating scalable platform potential.</w:t>
      </w:r>
    </w:p>
    <w:p>
      <w:pPr>
        <w:spacing w:after="0" w:line="81" w:lineRule="exact"/>
        <w:rPr>
          <w:sz w:val="20"/>
          <w:szCs w:val="20"/>
          <w:color w:val="auto"/>
        </w:rPr>
      </w:pPr>
    </w:p>
    <w:p>
      <w:pPr>
        <w:ind w:left="1280" w:right="579" w:firstLine="360"/>
        <w:spacing w:after="0" w:line="245" w:lineRule="auto"/>
        <w:rPr>
          <w:sz w:val="20"/>
          <w:szCs w:val="20"/>
          <w:color w:val="auto"/>
        </w:rPr>
      </w:pPr>
      <w:r>
        <w:rPr>
          <w:rFonts w:ascii="Times New Roman" w:cs="Times New Roman" w:eastAsia="Times New Roman" w:hAnsi="Times New Roman"/>
          <w:sz w:val="18"/>
          <w:szCs w:val="18"/>
          <w:color w:val="auto"/>
        </w:rPr>
        <w:t>We have out-licensed the Greater China rights for two antibody candidates to Sanjin and its affiliates. To further advance our pipeline, we have also put in place various clinical collaborations, including an agreement with Roche who is sponsoring and conducting a triple combination trial with ADG126, atezolizumab and bevacizumab in first-line hepatocellular carcinoma (HCC), clinical collaboration and supply agreement with Merck who provides pembrolizumab for certain of our combination clinical trials, and agreement with research organization in Singapore for investigator-initiated trial of our clinical candidate.</w:t>
      </w:r>
    </w:p>
    <w:p>
      <w:pPr>
        <w:spacing w:after="0" w:line="325" w:lineRule="exact"/>
        <w:rPr>
          <w:sz w:val="20"/>
          <w:szCs w:val="20"/>
          <w:color w:val="auto"/>
        </w:rPr>
      </w:pPr>
    </w:p>
    <w:p>
      <w:pPr>
        <w:ind w:left="1280" w:right="479" w:firstLine="360"/>
        <w:spacing w:after="0" w:line="247" w:lineRule="auto"/>
        <w:rPr>
          <w:sz w:val="20"/>
          <w:szCs w:val="20"/>
          <w:color w:val="auto"/>
        </w:rPr>
      </w:pPr>
      <w:r>
        <w:rPr>
          <w:rFonts w:ascii="Times New Roman" w:cs="Times New Roman" w:eastAsia="Times New Roman" w:hAnsi="Times New Roman"/>
          <w:sz w:val="18"/>
          <w:szCs w:val="18"/>
          <w:color w:val="auto"/>
        </w:rPr>
        <w:t>In March 2026, we formed a clinical collaboration with Incyte (Nasdaq:INCY) to evaluate the combination of muzastotug (ADG126) and INCA33890, a TGFβR2 × PD-1 bispecific antibody, in patients with microsatellite stable colorectal cancer (MSS CRC) with or without liver metastases. The phase 1 study of INCA33890 and ADG126 is expected to begin in 2026 in 3L MSS CRC patients with and without liver metastases. The study will be sponsored and conducted by Incyte and we will provide clinical supply of ADG126.</w:t>
      </w:r>
    </w:p>
    <w:p>
      <w:pPr>
        <w:spacing w:after="0" w:line="112"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Our collaborations empower our growth by generating cash flow and revenues that partially offset expenditures on our internal research and development programs, expand our knowledge base regarding antibody technology across multiple targets and antibodies provided by our partners, and provide us with future joint development opportunities. In addition to collaborations with biotechnology and pharmaceutical companies, we also work with globally renowned medical experts to advance our technology and product pipeline.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AACR Poster Presentations</w:t>
      </w:r>
    </w:p>
    <w:p>
      <w:pPr>
        <w:spacing w:after="0" w:line="162" w:lineRule="exact"/>
        <w:rPr>
          <w:sz w:val="20"/>
          <w:szCs w:val="20"/>
          <w:color w:val="auto"/>
        </w:rPr>
      </w:pPr>
    </w:p>
    <w:p>
      <w:pPr>
        <w:ind w:left="1280" w:right="819" w:firstLine="360"/>
        <w:spacing w:after="0" w:line="282" w:lineRule="auto"/>
        <w:rPr>
          <w:sz w:val="20"/>
          <w:szCs w:val="20"/>
          <w:color w:val="auto"/>
        </w:rPr>
      </w:pPr>
      <w:r>
        <w:rPr>
          <w:rFonts w:ascii="Times New Roman" w:cs="Times New Roman" w:eastAsia="Times New Roman" w:hAnsi="Times New Roman"/>
          <w:sz w:val="18"/>
          <w:szCs w:val="18"/>
          <w:color w:val="auto"/>
        </w:rPr>
        <w:t>Our muzastotug (ADG126) will be highlighted in two poster presentations at this year’s American Association of Cancer Research (AACR) conference with details.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AACR 2026 Abstract Number: CT054</w:t>
      </w:r>
    </w:p>
    <w:p>
      <w:pPr>
        <w:spacing w:after="0" w:line="160"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The MORPHEUS-Liver study (NCT04524871) is a phase 1b/2 open-label randomized umbrella study designed to evaluate immunotherapy-based combinations in patients with locally advanced or metastatic HCC. As of July 11, 2025, six patients had been randomized to the triple combination of muzastotug, atezolizumab and bevacizumab and 40 patients had received atezolizumab and bevacizumab in the active control arm. Interim results from patients in the muzastotug arm (18.8 months median duration of follow-up) demonstrated a 50.0% overall response rate (ORR; 3/6; RESIST v1.1), median progression free survival (mPFS) of 8.2 months, and median overall survival (mOS) of greater than 22 months that had not yet been reached. This compared favorably to the 40 patients in the active control arm (17.2 months median duration of follow-up) that demonstrated an ORR of 17.5% (7/40), mPFS of 4.3 months, and mOS of 17.5 months.</w:t>
      </w:r>
    </w:p>
    <w:p>
      <w:pPr>
        <w:spacing w:after="0" w:line="107"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The triplet regimen of muzastotug, atezolizumab and bevacizumab was well-tolerated with safety data comparable to the doublet active control arm of atezolizumab and bevacizumab. Grade 3 or greater treatment-related adverse events (TRAEs) were 50% (3/6) in the muzastotug arm and 45% (18/40) in the active control arm. We believe the safety data observed for muzastotug could allow for continuous dosing without impacting treatment with atezolizumab and bevacizumab. Further details from the interim results will be presented at the AACR conference April 17 – 22, 2026.</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AACR 2026 Abstract Number: CT083</w:t>
      </w:r>
    </w:p>
    <w:p>
      <w:pPr>
        <w:spacing w:after="0" w:line="160"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color w:val="auto"/>
        </w:rPr>
        <w:t>A phase 1b/2 single arm study (NCT05405595) is evaluating the triple combination of muzastotug, pembrolizumab and fruquintinib in patients with advanced and metastatic microsatellite stable (MSS) colorectal cancer (CRC). As of February 21, 2026, nine patients have been treated with the triple combination — four (4) patients at a dose of 10mg/kg every 6 weeks (Q6W) of muzastotug and five</w:t>
      </w:r>
    </w:p>
    <w:p>
      <w:pPr>
        <w:spacing w:after="0" w:line="3" w:lineRule="exact"/>
        <w:rPr>
          <w:sz w:val="20"/>
          <w:szCs w:val="20"/>
          <w:color w:val="auto"/>
        </w:rPr>
      </w:pPr>
    </w:p>
    <w:p>
      <w:pPr>
        <w:ind w:left="1280" w:right="819" w:hanging="2"/>
        <w:spacing w:after="0" w:line="260" w:lineRule="auto"/>
        <w:tabs>
          <w:tab w:leader="none" w:pos="15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at a dose of 15mg/kg of muzastotug. Interim results demonstrated a 25% ORR (1/4) among patients in the 10mg/kg arm, and a 40% ORR (2/5) among patients in the 15mg/kg arm.</w:t>
      </w:r>
    </w:p>
    <w:p>
      <w:pPr>
        <w:spacing w:after="0" w:line="114" w:lineRule="exact"/>
        <w:rPr>
          <w:sz w:val="20"/>
          <w:szCs w:val="20"/>
          <w:color w:val="auto"/>
        </w:rPr>
      </w:pPr>
    </w:p>
    <w:p>
      <w:pPr>
        <w:ind w:left="1280" w:right="659" w:firstLine="360"/>
        <w:spacing w:after="0" w:line="261" w:lineRule="auto"/>
        <w:rPr>
          <w:sz w:val="20"/>
          <w:szCs w:val="20"/>
          <w:color w:val="auto"/>
        </w:rPr>
      </w:pPr>
      <w:r>
        <w:rPr>
          <w:rFonts w:ascii="Times New Roman" w:cs="Times New Roman" w:eastAsia="Times New Roman" w:hAnsi="Times New Roman"/>
          <w:sz w:val="18"/>
          <w:szCs w:val="18"/>
          <w:color w:val="auto"/>
        </w:rPr>
        <w:t>The triplet regimen was well-tolerated with safety data comparable to historical controls with fruquintinib monotherapy, despite the addition of dual immunotherapy. There were no dose-limiting toxicities, 25 – 60% Grade 3 TRAEs, and no Grade 4 or Grade 5 TRAEs. Further details from the interim results will be presented at the AACR conference April 17 – 22, 2026.</w:t>
      </w:r>
    </w:p>
    <w:p>
      <w:pPr>
        <w:spacing w:after="0" w:line="141" w:lineRule="exact"/>
        <w:rPr>
          <w:sz w:val="20"/>
          <w:szCs w:val="20"/>
          <w:color w:val="auto"/>
        </w:rPr>
      </w:pPr>
    </w:p>
    <w:p>
      <w:pPr>
        <w:ind w:left="1280" w:right="539"/>
        <w:spacing w:after="0" w:line="264" w:lineRule="auto"/>
        <w:rPr>
          <w:sz w:val="20"/>
          <w:szCs w:val="20"/>
          <w:color w:val="auto"/>
        </w:rPr>
      </w:pPr>
      <w:r>
        <w:rPr>
          <w:rFonts w:ascii="Times New Roman" w:cs="Times New Roman" w:eastAsia="Times New Roman" w:hAnsi="Times New Roman"/>
          <w:sz w:val="17"/>
          <w:szCs w:val="17"/>
          <w:b w:val="1"/>
          <w:bCs w:val="1"/>
          <w:color w:val="auto"/>
        </w:rPr>
        <w:t>Updated Data from Phase 1b/2 Study of Muzastotug in Combination with KEYTRUDA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xml:space="preserve"> (pembrolizumab) in Late-line Patients with Microsatellite Stable Colorectal Cancer Demonstrate Improved Durability of Response</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Updated Interim Efficacy Results from Phase 1b/2 Trial</w:t>
      </w:r>
    </w:p>
    <w:p>
      <w:pPr>
        <w:spacing w:after="0" w:line="146"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Previous results from a data cut on April 22, 2025 were presented at the annual American Society of Clinical Oncology meeting in June 2025. As of the latest data cut on January 24, 2026, a total of 67 MSS CRC patients with no liver metastases, including those with peritoneal involvement, have been treated with muzastotug at a dose of either 10 mg/kg or 20 mg/kg, in combination with pembrolizumab. The 10 mg/kg dose was administered once every three weeks or once every six weeks. The 20 mg/kg dose was administered once as a loading dose, followed by 10 mg/kg every three weeks, or 20 mg/kg every six weeks.</w:t>
      </w:r>
    </w:p>
    <w:p>
      <w:pPr>
        <w:spacing w:after="0" w:line="120"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Among 65 efficacy-evaluable patients in the dose expansion phase, those in the combined 10 mg/kg cohorts (N=39) demonstrated an ORR of 13% (5/39), which was comprised of an ORR of 0% (0/10) in the Q6W regimen cohort and an ORR of 17% (5/29) in the every 3 weeks (Q3W) cohort. The higher response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759"/>
        <w:spacing w:after="0" w:line="258" w:lineRule="auto"/>
        <w:rPr>
          <w:sz w:val="20"/>
          <w:szCs w:val="20"/>
          <w:color w:val="auto"/>
        </w:rPr>
      </w:pPr>
      <w:r>
        <w:rPr>
          <w:rFonts w:ascii="Times New Roman" w:cs="Times New Roman" w:eastAsia="Times New Roman" w:hAnsi="Times New Roman"/>
          <w:sz w:val="18"/>
          <w:szCs w:val="18"/>
          <w:color w:val="auto"/>
        </w:rPr>
        <w:t>rates in the Q3W cohort and robust safety data, to keep patients stable without new lesions, in the Q6W cohort helped inform the decision for the dosing regimens utilized in Arm A of the ongoing randomized phase 2 trial.</w:t>
      </w:r>
    </w:p>
    <w:p>
      <w:pPr>
        <w:spacing w:after="0" w:line="102"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The combined 20 mg/kg cohorts (N=26) demonstrated a confirmed ORR of 31% (8/26), including 25% (3/12) in the Q6W cohort and 36% (5/14) in the 20 mg/kg loading dose cohort (20 mg/kg, followed by 10 mg/kg Q3W) . The higher response rate in the 20 mg/kg cohorts helped inform the 20 mg/kg induction/​ maintenance dosing regimen utilized in Arm B of the ongoing randomized phase 2 trial.</w:t>
      </w:r>
    </w:p>
    <w:p>
      <w:pPr>
        <w:spacing w:after="0" w:line="110" w:lineRule="exact"/>
        <w:rPr>
          <w:sz w:val="20"/>
          <w:szCs w:val="20"/>
          <w:color w:val="auto"/>
        </w:rPr>
      </w:pPr>
    </w:p>
    <w:p>
      <w:pPr>
        <w:ind w:left="1280" w:right="639" w:firstLine="360"/>
        <w:spacing w:after="0" w:line="250" w:lineRule="auto"/>
        <w:rPr>
          <w:sz w:val="20"/>
          <w:szCs w:val="20"/>
          <w:color w:val="auto"/>
        </w:rPr>
      </w:pPr>
      <w:r>
        <w:rPr>
          <w:rFonts w:ascii="Times New Roman" w:cs="Times New Roman" w:eastAsia="Times New Roman" w:hAnsi="Times New Roman"/>
          <w:sz w:val="18"/>
          <w:szCs w:val="18"/>
          <w:color w:val="auto"/>
        </w:rPr>
        <w:t>Median progression-free survival was 4.8 months in the 10 mg/kg cohorts and 6.7 months in the 20 mg/kg cohorts. Notably, mPFS was 15.4 months among the 14 patients in the 20 mg/kg loading dose cohort, compared with 4.9 months among the 12 patients in the 20 mg/kg Q6W cohort, further supporting the induction/maintenance approach now being evaluated in the ongoing randomized phase 2 study.</w:t>
      </w:r>
    </w:p>
    <w:p>
      <w:pPr>
        <w:spacing w:after="0" w:line="144"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Muzastotug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Pembrolizumab</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200 mg Q3W</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 mg/kg</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 mg/kg</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 mg/kg x1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Subpopulation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Q6W</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Q3W</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Q6W</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 mg/kg Q3W</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(N=39)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(N=10)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(N=29)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(N=26)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(N=12)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(N=14)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16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ORR</w:t>
            </w:r>
            <w:r>
              <w:rPr>
                <w:rFonts w:ascii="Times New Roman" w:cs="Times New Roman" w:eastAsia="Times New Roman" w:hAnsi="Times New Roman"/>
                <w:sz w:val="18"/>
                <w:szCs w:val="18"/>
                <w:color w:val="auto"/>
              </w:rPr>
              <w:t>, % (95% CI)</w:t>
            </w: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ind w:left="200"/>
              <w:spacing w:after="0" w:line="231" w:lineRule="exact"/>
              <w:rPr>
                <w:sz w:val="20"/>
                <w:szCs w:val="20"/>
                <w:color w:val="auto"/>
              </w:rPr>
            </w:pP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0"/>
                <w:szCs w:val="10"/>
                <w:color w:val="auto"/>
              </w:rPr>
              <w:t>(a)</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6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 – 27)</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 – 31)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(6 – 36)</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 52)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(5 – 57)</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 – 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w:t>
            </w:r>
            <w:r>
              <w:rPr>
                <w:rFonts w:ascii="Times New Roman" w:cs="Times New Roman" w:eastAsia="Times New Roman" w:hAnsi="Times New Roman"/>
                <w:sz w:val="18"/>
                <w:szCs w:val="18"/>
                <w:color w:val="auto"/>
              </w:rPr>
              <w:t>, N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(13)</w:t>
            </w:r>
          </w:p>
        </w:tc>
        <w:tc>
          <w:tcPr>
            <w:tcW w:w="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5</w:t>
            </w:r>
            <w:r>
              <w:rPr>
                <w:rFonts w:ascii="Times New Roman" w:cs="Times New Roman" w:eastAsia="Times New Roman" w:hAnsi="Times New Roman"/>
                <w:sz w:val="23"/>
                <w:szCs w:val="23"/>
                <w:color w:val="auto"/>
                <w:w w:val="97"/>
                <w:vertAlign w:val="superscript"/>
              </w:rPr>
              <w:t>(b)</w:t>
            </w:r>
            <w:r>
              <w:rPr>
                <w:rFonts w:ascii="Times New Roman" w:cs="Times New Roman" w:eastAsia="Times New Roman" w:hAnsi="Times New Roman"/>
                <w:sz w:val="18"/>
                <w:szCs w:val="18"/>
                <w:color w:val="auto"/>
                <w:w w:val="97"/>
              </w:rPr>
              <w:t xml:space="preserve"> (17)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(27)</w:t>
            </w:r>
          </w:p>
        </w:tc>
        <w:tc>
          <w:tcPr>
            <w:tcW w:w="2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(17)</w:t>
            </w:r>
          </w:p>
        </w:tc>
        <w:tc>
          <w:tcPr>
            <w:tcW w:w="2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(36)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 (62)</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(70)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 (59)</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14 (54)</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(58)</w:t>
            </w: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DCR</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(CR+PR+SD),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(95% CI)</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(58 – 87)</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(35 – 93)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(56 – 90)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(65 – 96)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(52 – 98)</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 – 98)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mPFS,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(95%CI)</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(2.6 – 6.7)</w:t>
            </w:r>
          </w:p>
        </w:tc>
        <w:tc>
          <w:tcPr>
            <w:tcW w:w="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 7.1)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(2.6 – 6.7)</w:t>
            </w:r>
          </w:p>
        </w:tc>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 – NA)</w:t>
            </w:r>
          </w:p>
        </w:tc>
        <w:tc>
          <w:tcPr>
            <w:tcW w:w="1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 NA)</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 – 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6-month PFS, </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(95% CI)</w:t>
            </w: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​​(24.3 – 54.6)</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​​(12.3 – 67)</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​​(21.9 – 56.8)</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​​(29.5 – 68.1)</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​​(16.7 – 70.7)</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(25.4 – 76.5) ​</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80" w:right="499"/>
        <w:spacing w:after="0" w:line="271" w:lineRule="auto"/>
        <w:rPr>
          <w:sz w:val="20"/>
          <w:szCs w:val="20"/>
          <w:color w:val="auto"/>
        </w:rPr>
      </w:pPr>
      <w:r>
        <w:rPr>
          <w:rFonts w:ascii="Times New Roman" w:cs="Times New Roman" w:eastAsia="Times New Roman" w:hAnsi="Times New Roman"/>
          <w:sz w:val="14"/>
          <w:szCs w:val="14"/>
          <w:color w:val="auto"/>
        </w:rPr>
        <w:t>Abbreviations: BoR (best overall response), CR (complete response), PR (partial response), SD (stable disease), DCR (disease control rate)</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Efficacy evaluable set (participants who received ≥1 post-baseline scheduled imaging scan)</w:t>
      </w:r>
    </w:p>
    <w:p>
      <w:pPr>
        <w:spacing w:after="0" w:line="82" w:lineRule="exact"/>
        <w:rPr>
          <w:sz w:val="20"/>
          <w:szCs w:val="20"/>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patient with target lesion assessed as “PR”, overall assessment as “PD” due to new lesion.</w:t>
      </w:r>
    </w:p>
    <w:p>
      <w:pPr>
        <w:spacing w:after="0" w:line="82"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one unconfirmed PR (10 mg/kg Q3W)</w:t>
      </w:r>
    </w:p>
    <w:p>
      <w:pPr>
        <w:spacing w:after="0" w:line="154"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mOS for the 10 mg/kg cohorts was 19.8 months with a 23.8-month median follow-up, comparing favorably with current standard of care treatments and historical benchmarks in the 11 – 12 month range1. mOS for the 20 mg/kg cohorts was not yet reached, with a median follow-up of 13.1 months. Patients in the 20 mg/kg cohorts demonstrated a 1-year OS rate of 80.8%, while patients in the 10 mg/kg cohorts demonstrated an OS rate of 70.1% at 12 months and 48% at 24 months.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Updated Interim Safety Results from Phase 1b/2 Trial</w:t>
      </w:r>
    </w:p>
    <w:p>
      <w:pPr>
        <w:spacing w:after="0" w:line="160"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As of the January 24, 2026 data cutoff, across 67 patients in all cohorts, there was a low 4% overall discontinuation rate, no dose limiting toxicities, and no treatment-related Grade 4 or 5 adverse events (TRAEs). Grade 3 TRAEs were 15% in the combined 10 mg/kg cohorts (0% Q6W; 20% Q3W) and 38% in the combined 20 mg/kg cohorts (25% Q6W; 50% loading dose cohort), which were generally transient and manageable.</w:t>
      </w:r>
    </w:p>
    <w:p>
      <w:pPr>
        <w:spacing w:after="0" w:line="322"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The most common treatment-related adverse events were pruritus, fatigue, hypothyroidism, and diarrhea. Regarding GI-related adverse events, the overall incidence of diarrhea, colitis and immune-mediated enterocolitis was relatively low, and such events were generally transient and manageable.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82" w:lineRule="auto"/>
        <w:rPr>
          <w:sz w:val="20"/>
          <w:szCs w:val="20"/>
          <w:color w:val="auto"/>
        </w:rPr>
      </w:pPr>
      <w:r>
        <w:rPr>
          <w:rFonts w:ascii="Times New Roman" w:cs="Times New Roman" w:eastAsia="Times New Roman" w:hAnsi="Times New Roman"/>
          <w:sz w:val="18"/>
          <w:szCs w:val="18"/>
          <w:color w:val="auto"/>
        </w:rPr>
        <w:t>three patients with Grade 3 colitis had all recovered at the time of data cut-off. Infliximab use was low, with approximately 10% of patients requiring its use for management of GI toxicity.</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Grade</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1</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2</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3</w:t>
            </w:r>
          </w:p>
        </w:tc>
        <w:tc>
          <w:tcPr>
            <w:tcW w:w="60" w:type="dxa"/>
            <w:vAlign w:val="bottom"/>
          </w:tcPr>
          <w:p>
            <w:pPr>
              <w:spacing w:after="0"/>
              <w:rPr>
                <w:sz w:val="14"/>
                <w:szCs w:val="14"/>
                <w:color w:val="auto"/>
              </w:rPr>
            </w:pPr>
          </w:p>
        </w:tc>
      </w:tr>
      <w:tr>
        <w:trPr>
          <w:trHeight w:val="214"/>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Preferred Term</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TRAE</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​57</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(85.1)</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​16</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Pruritus</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​25</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(37.3)</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Fatigue</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(22.4)</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Hypothyroidism</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​13</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(19.4)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Diarrhea</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(17.9)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Adrenal insufficiency</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​10</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(14.9)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9 (13.4)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Decreased appetite</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8 (11.9)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Alanine aminotransferase increased</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Arthralgia</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Nausea</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Colitis</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Immune-mediated enterocolitis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Ongoing Phase 2 Randomized Trial</w:t>
      </w:r>
    </w:p>
    <w:p>
      <w:pPr>
        <w:spacing w:after="0" w:line="160"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The randomized phase 2 trial design, incorporated into our existing protocol for the phase 1b/2 Trial (NCT05405595) was established following a meeting with the FDA in 2025 and is evaluating two different dose regimens. The first patient was treated in October 2025, and results are expected in the first half of 2027. We intend to take full advantage of the recent Fast Track designation by the FDA to initiate the a potential registrational study of muzastotug pending further FDA feedback regarding the dose regimen identified from ongoing trials.</w:t>
      </w:r>
    </w:p>
    <w:p>
      <w:pPr>
        <w:spacing w:after="0" w:line="77" w:lineRule="exact"/>
        <w:rPr>
          <w:sz w:val="20"/>
          <w:szCs w:val="20"/>
          <w:color w:val="auto"/>
        </w:rPr>
      </w:pPr>
    </w:p>
    <w:p>
      <w:pPr>
        <w:ind w:left="1820" w:right="459" w:hanging="182"/>
        <w:spacing w:after="0" w:line="267"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Population</w:t>
      </w:r>
      <w:r>
        <w:rPr>
          <w:rFonts w:ascii="Times New Roman" w:cs="Times New Roman" w:eastAsia="Times New Roman" w:hAnsi="Times New Roman"/>
          <w:sz w:val="18"/>
          <w:szCs w:val="18"/>
          <w:color w:val="auto"/>
        </w:rPr>
        <w:t>: The trial will enroll up to 60 late-line patients with MSS CRC without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metastases, including those with peritoneal metastasis/involvement. Patients are randomized 1:1 into one of two treatment arms with muzastotug in combination with pembrolizumab.</w:t>
      </w:r>
    </w:p>
    <w:p>
      <w:pPr>
        <w:spacing w:after="0" w:line="65" w:lineRule="exact"/>
        <w:rPr>
          <w:rFonts w:ascii="Times New Roman" w:cs="Times New Roman" w:eastAsia="Times New Roman" w:hAnsi="Times New Roman"/>
          <w:sz w:val="18"/>
          <w:szCs w:val="18"/>
          <w:color w:val="auto"/>
        </w:rPr>
      </w:pPr>
    </w:p>
    <w:p>
      <w:pPr>
        <w:ind w:left="1820" w:right="519" w:hanging="182"/>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and Regimen</w:t>
      </w:r>
      <w:r>
        <w:rPr>
          <w:rFonts w:ascii="Times New Roman" w:cs="Times New Roman" w:eastAsia="Times New Roman" w:hAnsi="Times New Roman"/>
          <w:sz w:val="18"/>
          <w:szCs w:val="18"/>
          <w:color w:val="auto"/>
        </w:rPr>
        <w:t>: Both arms utilize an induction/maintenance regimen, without cycle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muzastotug.</w:t>
      </w:r>
    </w:p>
    <w:p>
      <w:pPr>
        <w:spacing w:after="0" w:line="52" w:lineRule="exact"/>
        <w:rPr>
          <w:rFonts w:ascii="Times New Roman" w:cs="Times New Roman" w:eastAsia="Times New Roman" w:hAnsi="Times New Roman"/>
          <w:sz w:val="18"/>
          <w:szCs w:val="18"/>
          <w:color w:val="auto"/>
        </w:rPr>
      </w:pPr>
    </w:p>
    <w:p>
      <w:pPr>
        <w:ind w:left="2180" w:right="559" w:hanging="182"/>
        <w:spacing w:after="0" w:line="266" w:lineRule="auto"/>
        <w:tabs>
          <w:tab w:leader="none" w:pos="2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A: 10 mg/kg induction dose of muzastotug plus 200 mg pembrolizumab Q3W for 4 doses followed by one 200 mg dose of pembrolizumab; the maintenance phase will dose 10 mg/kg muzastotug Q6W plus 400 mg of pembrolizumab Q6W.</w:t>
      </w:r>
    </w:p>
    <w:p>
      <w:pPr>
        <w:spacing w:after="0" w:line="67" w:lineRule="exact"/>
        <w:rPr>
          <w:rFonts w:ascii="Times New Roman" w:cs="Times New Roman" w:eastAsia="Times New Roman" w:hAnsi="Times New Roman"/>
          <w:sz w:val="18"/>
          <w:szCs w:val="18"/>
          <w:color w:val="auto"/>
        </w:rPr>
      </w:pPr>
    </w:p>
    <w:p>
      <w:pPr>
        <w:ind w:left="2180" w:right="739" w:hanging="182"/>
        <w:spacing w:after="0" w:line="266" w:lineRule="auto"/>
        <w:tabs>
          <w:tab w:leader="none" w:pos="2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B: 20 mg/kg induction dose of muzastotug Q6W plus 400 mg pembrolizumab Q6W for 2 doses; the maintenance phase will dose muzastotug at 15 mg/kg Q6W plus 400 mg pembrolizumab Q6W.</w:t>
      </w:r>
    </w:p>
    <w:p>
      <w:pPr>
        <w:spacing w:after="0" w:line="65" w:lineRule="exact"/>
        <w:rPr>
          <w:rFonts w:ascii="Times New Roman" w:cs="Times New Roman" w:eastAsia="Times New Roman" w:hAnsi="Times New Roman"/>
          <w:sz w:val="18"/>
          <w:szCs w:val="18"/>
          <w:color w:val="auto"/>
        </w:rPr>
      </w:pPr>
    </w:p>
    <w:p>
      <w:pPr>
        <w:ind w:left="1820" w:right="559" w:hanging="182"/>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Endpoints</w:t>
      </w:r>
      <w:r>
        <w:rPr>
          <w:rFonts w:ascii="Times New Roman" w:cs="Times New Roman" w:eastAsia="Times New Roman" w:hAnsi="Times New Roman"/>
          <w:sz w:val="18"/>
          <w:szCs w:val="18"/>
          <w:color w:val="auto"/>
        </w:rPr>
        <w:t>: The primary endpoint will be ORR. Secondary endpoints include duration of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PFS, and OS.</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Investors are investing in equity securities of a Cayman Islands holding company rather than equity securities of our subsidiaries that have substantive business operations in the United States or China. Adagene Inc. is a Cayman Islands holding company that conducts its operations and operates its business in the U.S. through its U.S. subsidiary, Adagene Incorporated. In addition, Adagene Inc. conducts its operations in China through its PRC subsidiary, Adagene Suzhou. Our corporate group does not include any variable interest entities. Such structure involves unique risks to investors in the ADSs or ordinary shares. You should carefully consider all of the information in this prospectus supplement and in any documents incorporated by reference to this prospectus supplement, including disclosures included in our most recent annual report on Form 20-F incorporated by reference in this prospectus supplement, before making an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6" w:lineRule="auto"/>
        <w:rPr>
          <w:sz w:val="20"/>
          <w:szCs w:val="20"/>
          <w:color w:val="auto"/>
        </w:rPr>
      </w:pPr>
      <w:r>
        <w:rPr>
          <w:rFonts w:ascii="Times New Roman" w:cs="Times New Roman" w:eastAsia="Times New Roman" w:hAnsi="Times New Roman"/>
          <w:sz w:val="18"/>
          <w:szCs w:val="18"/>
          <w:color w:val="auto"/>
        </w:rPr>
        <w:t>investment in our ADSs. In particular, as we are a holding company with substantial business operations in China, you should pay special attention to subsections headed “Recent Regulatory Developments” in this prospectus supplement and “Item 5.B. — Liquidity and Capital Resources — Holding Company Structure” and Item 3.D. Risk Factors — Risks Related to Doing Business in the PRC,” in our most recent annual report on Form 20 -F incorporated by reference in this prospectus supplement, including but not limited to risk factor such as “uncertainties with respect to the PRC legal system, including uncertainties regarding the enforcement of laws, and sudden or unexpected changes in policies, laws and regulations in China could adversely affect us.”</w:t>
      </w:r>
    </w:p>
    <w:p>
      <w:pPr>
        <w:spacing w:after="0" w:line="324"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as well as the lack of PCAOB inspection on our auditor. Such risks could result in a material change in our operations and/or the value of our ADSs or could significantly limit or completely hinder our ability to offer or continue to offer ADSs and/or other securities to investors and cause the value of such securities to significantly decline or be worthless. The PRC government also has significant oversight and discretion over the conduct of our business and as such may influence our operations at any time, which could result in a material adverse effect on our operations. The PRC government has recently published new policies and made statements, such as those related to regulatory approvals of offshore offerings and data security or anti-monopoly concerns, that although did not target our company specifically, nevertheless have significantly affected certain industries and other PRC -based issuers as a whole, and we cannot rule out the possibility that it will in the future release regulations or policies regarding the industry where we operate, which could adversely affect our business, financial condition and results of operations. Furthermore, the PRC government has recently indicated an intent to exert more oversight and control over overseas securities offerings and other capital markets activities and foreign investment in China-based companies like us. These risks could result in a material change in our operations and the value of our ordinary shares or the ADSs or could significantly limit or completely hinder our ability to conduct our business, accept foreign investments, maintain listing on Nasdaq or list on other foreign exchange, and offer or continue to offer securities to investors, and cause the value of such securities to significantly decline or become worthless. Below please find a summary of the principal risks we face, organized under relevant headings. These risks are discussed more fully in the section titled “Risk Factors” in this prospectus supplement and the most recent annual report on Form 20-F incorporated by reference.</w:t>
      </w:r>
    </w:p>
    <w:p>
      <w:pPr>
        <w:spacing w:after="0" w:line="200" w:lineRule="exact"/>
        <w:rPr>
          <w:sz w:val="20"/>
          <w:szCs w:val="20"/>
          <w:color w:val="auto"/>
        </w:rPr>
      </w:pPr>
    </w:p>
    <w:p>
      <w:pPr>
        <w:spacing w:after="0" w:line="21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the PRC</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doing business in China include, but are not limited to, the following:</w:t>
      </w:r>
    </w:p>
    <w:p>
      <w:pPr>
        <w:spacing w:after="0" w:line="117" w:lineRule="exact"/>
        <w:rPr>
          <w:sz w:val="20"/>
          <w:szCs w:val="20"/>
          <w:color w:val="auto"/>
        </w:rPr>
      </w:pPr>
    </w:p>
    <w:p>
      <w:pPr>
        <w:ind w:left="1820" w:right="63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uncertainties regarding the enforcement of laws, and sudden or unexpected changes in policies, laws and regulations in China could adversely affect us;</w:t>
      </w:r>
    </w:p>
    <w:p>
      <w:pPr>
        <w:spacing w:after="0" w:line="67" w:lineRule="exact"/>
        <w:rPr>
          <w:rFonts w:ascii="Times New Roman" w:cs="Times New Roman" w:eastAsia="Times New Roman" w:hAnsi="Times New Roman"/>
          <w:sz w:val="18"/>
          <w:szCs w:val="18"/>
          <w:color w:val="auto"/>
        </w:rPr>
      </w:pPr>
    </w:p>
    <w:p>
      <w:pPr>
        <w:ind w:left="1820" w:right="459" w:hanging="182"/>
        <w:spacing w:after="0" w:line="275"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has significant oversight over the conduct of our business and as such may influence our operations at any time, which may potentially result in a material adverse effect on our operations;</w:t>
      </w:r>
    </w:p>
    <w:p>
      <w:pPr>
        <w:spacing w:after="0" w:line="281"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1"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71" w:lineRule="exact"/>
        <w:rPr>
          <w:rFonts w:ascii="Times New Roman" w:cs="Times New Roman" w:eastAsia="Times New Roman" w:hAnsi="Times New Roman"/>
          <w:sz w:val="18"/>
          <w:szCs w:val="18"/>
          <w:color w:val="auto"/>
        </w:rPr>
      </w:pPr>
    </w:p>
    <w:p>
      <w:pPr>
        <w:ind w:left="1820" w:right="479" w:hanging="182"/>
        <w:spacing w:after="0" w:line="263"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5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and filing with the China Securities Regulatory Commission will be required in connection with the offering under this prospectus supplement, and, we cannot predict if we will be able to complete such report and filing process; and</w:t>
      </w:r>
    </w:p>
    <w:p>
      <w:pPr>
        <w:spacing w:after="0" w:line="67" w:lineRule="exact"/>
        <w:rPr>
          <w:rFonts w:ascii="Times New Roman" w:cs="Times New Roman" w:eastAsia="Times New Roman" w:hAnsi="Times New Roman"/>
          <w:sz w:val="18"/>
          <w:szCs w:val="18"/>
          <w:color w:val="auto"/>
        </w:rPr>
      </w:pPr>
    </w:p>
    <w:p>
      <w:pPr>
        <w:ind w:left="1820" w:right="61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exist with respect to the interpretation and implementation of the Foreign Investment Law and how it may impact the viability of our current corporate structure, corporate governance and business operations.</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Prospects and Need for Additional Capital</w:t>
      </w:r>
    </w:p>
    <w:p>
      <w:pPr>
        <w:spacing w:after="0" w:line="162" w:lineRule="exact"/>
        <w:rPr>
          <w:sz w:val="20"/>
          <w:szCs w:val="20"/>
          <w:color w:val="auto"/>
        </w:rPr>
      </w:pPr>
    </w:p>
    <w:p>
      <w:pPr>
        <w:ind w:left="1280" w:right="679" w:firstLine="360"/>
        <w:spacing w:after="0" w:line="282" w:lineRule="auto"/>
        <w:rPr>
          <w:sz w:val="20"/>
          <w:szCs w:val="20"/>
          <w:color w:val="auto"/>
        </w:rPr>
      </w:pPr>
      <w:r>
        <w:rPr>
          <w:rFonts w:ascii="Times New Roman" w:cs="Times New Roman" w:eastAsia="Times New Roman" w:hAnsi="Times New Roman"/>
          <w:sz w:val="18"/>
          <w:szCs w:val="18"/>
          <w:color w:val="auto"/>
        </w:rPr>
        <w:t>Risks and uncertainties related to our financial prospects and need for additional capital include, but are not limited to, the following:</w:t>
      </w:r>
    </w:p>
    <w:p>
      <w:pPr>
        <w:spacing w:after="0" w:line="54"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historically and we may continue to incur net losses in the near future;</w:t>
      </w:r>
    </w:p>
    <w:p>
      <w:pPr>
        <w:spacing w:after="0" w:line="117"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substantial additional financing to fund our growth and operations, which may not be available on acceptable terms, if at all;</w:t>
      </w:r>
    </w:p>
    <w:p>
      <w:pPr>
        <w:spacing w:after="0" w:line="53" w:lineRule="exact"/>
        <w:rPr>
          <w:rFonts w:ascii="Times New Roman" w:cs="Times New Roman" w:eastAsia="Times New Roman" w:hAnsi="Times New Roman"/>
          <w:sz w:val="18"/>
          <w:szCs w:val="18"/>
          <w:color w:val="auto"/>
        </w:rPr>
      </w:pPr>
    </w:p>
    <w:p>
      <w:pPr>
        <w:ind w:left="1820" w:right="699" w:hanging="182"/>
        <w:spacing w:after="0" w:line="275"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lead to dilution of shareholdings by our existing shareholders and restrict our operations or require us to relinquish rights to our technologies or product candidates; and</w:t>
      </w:r>
    </w:p>
    <w:p>
      <w:pPr>
        <w:spacing w:after="0" w:line="281"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shareholders who have board representation rights and their individual interests may differ from yours.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of Our Product Candidates</w:t>
      </w:r>
    </w:p>
    <w:p>
      <w:pPr>
        <w:spacing w:after="0" w:line="162"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Risks and uncertainties related to clinical development of our product candidates include, but are not limited to, the following:</w:t>
      </w:r>
    </w:p>
    <w:p>
      <w:pPr>
        <w:spacing w:after="0" w:line="54" w:lineRule="exact"/>
        <w:rPr>
          <w:sz w:val="20"/>
          <w:szCs w:val="20"/>
          <w:color w:val="auto"/>
        </w:rPr>
      </w:pPr>
    </w:p>
    <w:p>
      <w:pPr>
        <w:ind w:left="1820" w:right="67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or discover new product candidates, and may allocate our limited resources to pursue a particular product candidate and fail to capitalize on product candidates that may later prove to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1820" w:right="9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proprietary platforms to build a pipeline of product candidates;</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or setbacks in our platforms or our other proprietary technologies could negatively affect our business and financial condition;</w:t>
      </w:r>
    </w:p>
    <w:p>
      <w:pPr>
        <w:spacing w:after="0" w:line="53"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for which we intend to seek approval as biologic products, may face competition sooner than anticipated; and</w:t>
      </w:r>
    </w:p>
    <w:p>
      <w:pPr>
        <w:spacing w:after="0" w:line="53"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substantially on the success of our product candidates, particularly our lead product candidate, ADG126 (muzastotug), which is in phase 1b/2 and phase 2 clinical studies, and our ability to advance and identify additional product candidates. Clinical trials of our product candidates may not be successful. If we are unable to successfully identify new product candidates, complete clinical development, obtain regulatory approval and commercialize our product candidates, or experience significant delays in doing so, our business will be materially harmed.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Obtaining Regulatory Approval of Our Drug Candidates</w:t>
      </w:r>
    </w:p>
    <w:p>
      <w:pPr>
        <w:spacing w:after="0" w:line="162" w:lineRule="exact"/>
        <w:rPr>
          <w:sz w:val="20"/>
          <w:szCs w:val="20"/>
          <w:color w:val="auto"/>
        </w:rPr>
      </w:pPr>
    </w:p>
    <w:p>
      <w:pPr>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obtaining regulatory approval of our drug candidates include, but are not limited to, the following:</w:t>
      </w:r>
    </w:p>
    <w:p>
      <w:pPr>
        <w:spacing w:after="0" w:line="54" w:lineRule="exact"/>
        <w:rPr>
          <w:sz w:val="20"/>
          <w:szCs w:val="20"/>
          <w:color w:val="auto"/>
        </w:rPr>
      </w:pPr>
    </w:p>
    <w:p>
      <w:pPr>
        <w:jc w:val="both"/>
        <w:ind w:left="1820" w:right="55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NMPA and other comparable regulatory authorities are lengthy, time consuming and inherently unpredictable, and if we are ultimately unable to obtain regulatory approvals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1"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rFonts w:ascii="Times New Roman" w:cs="Times New Roman" w:eastAsia="Times New Roman" w:hAnsi="Times New Roman"/>
          <w:sz w:val="18"/>
          <w:szCs w:val="18"/>
          <w:color w:val="auto"/>
        </w:rPr>
      </w:pPr>
    </w:p>
    <w:p>
      <w:pPr>
        <w:ind w:left="1820" w:right="79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and may in the future conduct additional clinical trials for our product candidates outside the United States and/or China, and FDA, NMPA and similar foreign regulatory authorities may not accept data from such trial; and</w:t>
      </w:r>
    </w:p>
    <w:p>
      <w:pPr>
        <w:spacing w:after="0" w:line="54"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adverse events, side effects or have other properties that could delay or prevent their regulatory approval, limit the commercial profile of an approved label, or result in significant negative consequences following any regulatory approval.</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our intellectual property include, but are not limited to, the following:</w:t>
      </w:r>
    </w:p>
    <w:p>
      <w:pPr>
        <w:spacing w:after="0" w:line="117" w:lineRule="exact"/>
        <w:rPr>
          <w:sz w:val="20"/>
          <w:szCs w:val="20"/>
          <w:color w:val="auto"/>
        </w:rPr>
      </w:pPr>
    </w:p>
    <w:p>
      <w:pPr>
        <w:ind w:left="1820" w:right="5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technology, and we may not be able to protect our intellectual property rights throughout the world;</w:t>
      </w:r>
    </w:p>
    <w:p>
      <w:pPr>
        <w:spacing w:after="0" w:line="40"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could diminish the value of patents in general, thereby impairing our ability to protect our product candidates;</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for our development pipeline through acquisitions and licensing deals;</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 and any unfavorable outcome from such litigation could limit our research and development activities and/or our ability to commercialize our product candidates; and</w:t>
      </w:r>
    </w:p>
    <w:p>
      <w:pPr>
        <w:spacing w:after="0" w:line="71" w:lineRule="exact"/>
        <w:rPr>
          <w:rFonts w:ascii="Times New Roman" w:cs="Times New Roman" w:eastAsia="Times New Roman" w:hAnsi="Times New Roman"/>
          <w:sz w:val="18"/>
          <w:szCs w:val="18"/>
          <w:color w:val="auto"/>
        </w:rPr>
      </w:pPr>
    </w:p>
    <w:p>
      <w:pPr>
        <w:ind w:left="1820" w:right="7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upon, misappropriating or otherwise violating the intellectual property rights of third parties.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the ADSs include, but are not limited to, the following:</w:t>
      </w:r>
    </w:p>
    <w:p>
      <w:pPr>
        <w:spacing w:after="0" w:line="117" w:lineRule="exact"/>
        <w:rPr>
          <w:sz w:val="20"/>
          <w:szCs w:val="20"/>
          <w:color w:val="auto"/>
        </w:rPr>
      </w:pPr>
    </w:p>
    <w:p>
      <w:pPr>
        <w:ind w:left="1820" w:right="399" w:hanging="182"/>
        <w:spacing w:after="0" w:line="259"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including our ability to raise capital or raise capital on favorable terms and the market price of our ADSs, may be adversely affected by the geopolitical factors arising in connection with Russia’s invasion of Ukraine, including particularly how countries like the United States and China choose to respond to this war. As a result, the value of our ADSs may significantly decline;</w:t>
      </w:r>
    </w:p>
    <w:p>
      <w:pPr>
        <w:spacing w:after="0" w:line="29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 of your ADSs;</w:t>
      </w:r>
    </w:p>
    <w:p>
      <w:pPr>
        <w:spacing w:after="0" w:line="117"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53"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7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67" w:lineRule="exact"/>
        <w:rPr>
          <w:rFonts w:ascii="Times New Roman" w:cs="Times New Roman" w:eastAsia="Times New Roman" w:hAnsi="Times New Roman"/>
          <w:sz w:val="18"/>
          <w:szCs w:val="18"/>
          <w:color w:val="auto"/>
        </w:rPr>
      </w:pPr>
    </w:p>
    <w:p>
      <w:pPr>
        <w:ind w:left="1820" w:right="6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or perceived sale or availability for sale, of substantial amounts of the ADSs could adversely affect their market price; and</w:t>
      </w:r>
    </w:p>
    <w:p>
      <w:pPr>
        <w:spacing w:after="0" w:line="53" w:lineRule="exact"/>
        <w:rPr>
          <w:rFonts w:ascii="Times New Roman" w:cs="Times New Roman" w:eastAsia="Times New Roman" w:hAnsi="Times New Roman"/>
          <w:sz w:val="18"/>
          <w:szCs w:val="18"/>
          <w:color w:val="auto"/>
        </w:rPr>
      </w:pPr>
    </w:p>
    <w:p>
      <w:pPr>
        <w:ind w:left="1820" w:right="61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likely a passive foreign investment company, or PFIC, for 2025, and there is a significant risk that we will be a PFIC for 2026 and possibly subsequent taxable years, in which case U.S. investors will generally be subject to adverse U.S. federal income tax consequences.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PRC REGULATORY DEVELOPMENTS</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Cybersecurity Review</w:t>
      </w:r>
    </w:p>
    <w:p>
      <w:pPr>
        <w:spacing w:after="0" w:line="162" w:lineRule="exact"/>
        <w:rPr>
          <w:sz w:val="20"/>
          <w:szCs w:val="20"/>
          <w:color w:val="auto"/>
        </w:rPr>
      </w:pPr>
    </w:p>
    <w:p>
      <w:pPr>
        <w:ind w:left="1280" w:right="499" w:firstLine="360"/>
        <w:spacing w:after="0" w:line="242"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and 12 other relevant PRC government authorities published the amended Cybersecurity Review Measures, or the Cybersecurity Review Measures, which went on February 15, 2022 and supersede and replace the current Cybersecurity Review Measures previously promulgated on April 13, 2020. The Cybersecurity Review Measures provide that the purchase of network products and services by a “critical information infrastructure operator” and the data processing activities of a “network platform operator” that affect or may affect national security shall be subject to the cybersecurity review. Furthermore, if a “network platform operator” that possesses personal information of more than one million users intends to go public in a foreign country, it must apply for a cybersecurity review with the Cybersecurity Review Office. In addition, the relevant PRC governmental authorities may initiate cybersecurity review if they determine certain network products, services, or data processing activities affect or may affect national security.</w:t>
      </w:r>
    </w:p>
    <w:p>
      <w:pPr>
        <w:spacing w:after="0" w:line="121"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On September 24,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See “Item 4. Information of the Company — 4.B. Business Overview — Regulation — Other PRC Government Regulations — Regulations on Information Security and Data Protection” in our most recent annual report on Form 20-F incorporated by reference in this prospectus supplement for further discussion. As the Regulation on Network Data Security Management is relatively new, the specific implementation of it still remains uncertainties. In addition, under the Provisions on Promoting and Regulating Cross-border Flow of Data effective March 22, 2024, cross-border transfer of important data or personal information may be subject to security assessment, standard contract filing or certification depending on the volume and nature of data involved.</w:t>
      </w:r>
    </w:p>
    <w:p>
      <w:pPr>
        <w:spacing w:after="0" w:line="116"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given the nature of our business, since we do not possess or process personal information of more than one million users/individuals, and we do not believe we are a “critical information infrastructure operator,” “network platform operator” or a data processor whose purchase of network products and services or data processing activities affect or may affect national security, and we do not believe our current data processing activities trigger mandatory cybersecurity review requirements under applicable PRC laws and regulations, the listing of our ADSs on the Nasdaq and future potential offering of our ADSs will not be subject to the cybersecurity review process under the Cybersecurity Review Measures, although we cannot guarantee that the relevant PRC regulatory authority will agree with our interpretation. Currently, the Cybersecurity Review Measures and the Regulation on Network Data Security Management have not materially affected our business and operations, but in anticipation of the strengthened implementation of cybersecurity laws and regulations and the continued expansion of our business, we face potential risks if we are deemed as a critical information infrastructure operator, a network platform operator or data processing operator under the PRC cybersecurity laws and regulations. In such case, we must fulfill certain obligations as required under the PRC cybersecurity laws and regulations, including, among others, storing personal information and other important data collected and produced within the PRC territory as we advance our drug discovery pipelines as part of our future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2" w:lineRule="auto"/>
        <w:rPr>
          <w:sz w:val="20"/>
          <w:szCs w:val="20"/>
          <w:color w:val="auto"/>
        </w:rPr>
      </w:pPr>
      <w:r>
        <w:rPr>
          <w:rFonts w:ascii="Times New Roman" w:cs="Times New Roman" w:eastAsia="Times New Roman" w:hAnsi="Times New Roman"/>
          <w:sz w:val="18"/>
          <w:szCs w:val="18"/>
          <w:color w:val="auto"/>
        </w:rPr>
        <w:t>operations in China, and we may be subject to lengthy cybersecurity review, annual data security assessment and other enhanced regulatory requirements when purchasing network products and services or conducting other data processing activities. We may face challenges in addressing such enhanced regulatory requirements and be required to make necessary changes to our internal policies and practices in data privacy and cybersecurity matters. As advised by our PRC legal counsel, Jingtian &amp; Gongcheng, as of the date of this prospectus supplement, although detailed implementation in specific sectors remains subject to further regulatory practice and interpretation, the PRC governmental authorities have broad discretion in the interpretation and enforcement of these laws and regulations. It also remains uncertain whether the future regulatory changes will impose additional restrictions on companies like us. We cannot predict the impact of the Cybersecurity Review Measures and/or the Regulation on Network Data Security Management, if any, at this stage, and we will closely monitor and assess any development in the rule-making process. If the future enacted laws and regulations, including the enacted version of the data security regulations mandate clearance of cybersecurity review and other specific actions to be completed by companies like us before we are able to complete this offering, we will face uncertainties as to whether such clearance and/or other specific actions can be timely obtained or completed, or at all. If we are not able to comply with the cybersecurity and data privacy requirements in a timely manner, or at all, we may be subject to government enforcement actions and investigations, fines, penalties, or suspension of our non-compliant operations, among other sanctions, which could materially and adversely affect our business and results of operations.</w:t>
      </w:r>
    </w:p>
    <w:p>
      <w:pPr>
        <w:spacing w:after="0" w:line="11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 As of the date of this prospectus supplement, we have not been involved in any investigation on cybersecurity review made by the CAC on such basis, and we have not received any inquiry, notice, warning, or sanction in such respect, and we have not been subject to any material fines or other material penalties due to non -compliance with cybersecurity or data privacy laws or regulations. Our PRC legal counsel does not expect that, as of the date of this prospectus supplement, we are required to file an application for the cybersecurity review by CAC in connection with our previous issuance of securities to foreign investors or maintaining our listing status on Nasdaq. We have been making continuous efforts to comply with the relevant cybersecurity and data protection laws and regulations of the PRC, and will endeavor to comply with any updated applicable laws, regulations or guidelines as issued by any relevant regulatory authority in the PRC. See “Item 3 Key Information — 3.D. Risk Factors — Risks Related to Doing Business in the PRC — Failure to comply with existing or future laws and regulations related to privacy or data security could lead to government enforcement actions, which could include civil or criminal fines or penalties, investigation or sanction by regulatory authorities, private litigation, other liabilities, and/or adverse publicity” in our most recent annual report on Form 20-F incorporated by reference in this prospectus supplement.</w:t>
      </w:r>
    </w:p>
    <w:p>
      <w:pPr>
        <w:spacing w:after="0" w:line="3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Post-Offering CSRC Filings Required for the Offering of Our ADSs</w:t>
      </w:r>
    </w:p>
    <w:p>
      <w:pPr>
        <w:spacing w:after="0" w:line="162" w:lineRule="exact"/>
        <w:rPr>
          <w:sz w:val="20"/>
          <w:szCs w:val="20"/>
          <w:color w:val="auto"/>
        </w:rPr>
      </w:pPr>
    </w:p>
    <w:p>
      <w:pPr>
        <w:ind w:left="1280" w:right="619" w:firstLine="360"/>
        <w:spacing w:after="0" w:line="244"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14" w:lineRule="exact"/>
        <w:rPr>
          <w:sz w:val="20"/>
          <w:szCs w:val="20"/>
          <w:color w:val="auto"/>
        </w:rPr>
      </w:pPr>
    </w:p>
    <w:p>
      <w:pPr>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Under the Trial Measures and Listing Guidelines, subsequent securities offerings of an issuer in (i) the same overseas market where it has previously offered and listed securities, and (ii) an overseas market other than one where the issuer has previously offered and listed securities shall be (a) filed with the CSRC within three working days after offerings are completed, and (b) within three working days after the submission of the application documents for overseas issuance and listing, respectively. Further, the CSRC Filing Notice states that, beginning from March 31, 2023, PRC domestic enterprises which have already issued and listed securities overseas and fall within the scope of filing under the Trial Measures shall be considered “existing enterprises,” or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upon completion of the offering under this prospectus supplement, we shall file a post-closing filing report with CSRC within three (3) working days. We intend to comply with such requirements imposed by the Trial Measures and Listing Guidelines.</w:t>
      </w:r>
    </w:p>
    <w:p>
      <w:pPr>
        <w:spacing w:after="0" w:line="1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MATERIAL LICENSES AND APPROVALS</w:t>
      </w:r>
    </w:p>
    <w:p>
      <w:pPr>
        <w:spacing w:after="0" w:line="162" w:lineRule="exact"/>
        <w:rPr>
          <w:sz w:val="20"/>
          <w:szCs w:val="20"/>
          <w:color w:val="auto"/>
        </w:rPr>
      </w:pPr>
    </w:p>
    <w:p>
      <w:pPr>
        <w:ind w:left="1280" w:right="799" w:firstLine="360"/>
        <w:spacing w:after="0" w:line="253" w:lineRule="auto"/>
        <w:rPr>
          <w:sz w:val="20"/>
          <w:szCs w:val="20"/>
          <w:color w:val="auto"/>
        </w:rPr>
      </w:pPr>
      <w:r>
        <w:rPr>
          <w:rFonts w:ascii="Times New Roman" w:cs="Times New Roman" w:eastAsia="Times New Roman" w:hAnsi="Times New Roman"/>
          <w:sz w:val="18"/>
          <w:szCs w:val="18"/>
          <w:color w:val="auto"/>
        </w:rPr>
        <w:t>Our PRC subsidiary has obtained all material licenses and approvals required for our operations in China. For details of our material licenses and approvals, see “Item 4. Information of the Company —</w:t>
      </w:r>
    </w:p>
    <w:p>
      <w:pPr>
        <w:ind w:left="1280" w:right="479"/>
        <w:spacing w:after="0"/>
        <w:rPr>
          <w:sz w:val="20"/>
          <w:szCs w:val="20"/>
          <w:color w:val="auto"/>
        </w:rPr>
      </w:pPr>
      <w:r>
        <w:rPr>
          <w:rFonts w:ascii="Times New Roman" w:cs="Times New Roman" w:eastAsia="Times New Roman" w:hAnsi="Times New Roman"/>
          <w:sz w:val="18"/>
          <w:szCs w:val="18"/>
          <w:color w:val="auto"/>
        </w:rPr>
        <w:t>4. B. Business Overview — Material Licenses and Approvals” in our most recent annual report on Form 20-F incorporated by reference in this prospectus supplement. For risks relating to licenses and approvals required for our operations in China, see “Item 3. Key Information — 3.D. Risk Factors — Risks Related to Doing Business in the PRC,” “— Risks Related to Clinical Development of Our Product Candidates,” and “— Risks Related to Obtaining Regulatory Approval of Our Drug Candidates” in our most recent annual report on Form 20-F incorporated by reference in this prospectus supplement.</w:t>
      </w:r>
    </w:p>
    <w:p>
      <w:pPr>
        <w:spacing w:after="0" w:line="117" w:lineRule="exact"/>
        <w:rPr>
          <w:sz w:val="20"/>
          <w:szCs w:val="20"/>
          <w:color w:val="auto"/>
        </w:rPr>
      </w:pPr>
    </w:p>
    <w:p>
      <w:pPr>
        <w:ind w:left="1280" w:right="479" w:firstLine="360"/>
        <w:spacing w:after="0" w:line="243" w:lineRule="auto"/>
        <w:rPr>
          <w:sz w:val="20"/>
          <w:szCs w:val="20"/>
          <w:color w:val="auto"/>
        </w:rPr>
      </w:pPr>
      <w:r>
        <w:rPr>
          <w:rFonts w:ascii="Times New Roman" w:cs="Times New Roman" w:eastAsia="Times New Roman" w:hAnsi="Times New Roman"/>
          <w:sz w:val="18"/>
          <w:szCs w:val="18"/>
          <w:color w:val="auto"/>
        </w:rPr>
        <w:t>Furthermore, in connection with our historical issuance of securities to foreign investors, under currently effective PRC laws, regulations and regulatory rules, as of the date of this prospectus supplement, we are not currently required to obtain permissions from the CSRC, and we have not received any formal notice from any PRC authority indicating that we should apply for or are otherwise subject to cybersecurity review or security assessment. In addition, we have not been asked to obtain such permissions by any PRC authority or received any denial to do so. However, the PRC government has recently indicated an intent to exert more oversight and control over offerings that are conducted overseas and/or foreign investment in China-based issuers. For example, the CSRC published the Trial Measures and Listing Guidelines on February 17, 2023, designed to regulate overseas securities offerings by PRC domestic companies. Given the recent nature of the introduction of the Trial Measures and Listing Guidelines, there remains significant uncertainty as to the enactment, interpretation and implementation of regulatory requirements related to overseas securities offerings and other capital markets activities.</w:t>
      </w:r>
    </w:p>
    <w:p>
      <w:pPr>
        <w:spacing w:after="0" w:line="11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If (i) we mistakenly conclude that certain regulatory filings, permissions and approvals are not required or (ii) applicable laws, regulations, or interpretations change and (iii) we are required to obtain such filings, permissions or approvals in the future, but fail to receive or maintain such filings, permissions or approvals, we may face sanctions by the CSRC, the Cyberspace Administration of China (the “CAC”) or other PRC regulatory agencies. In addition, rules and regulations in China can change quickly with little advance notice. These regulatory agencies may impose fines and penalties on our operations in China, limit our operations in China,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See also “Item 3 Key Information — 3.D.Risk Factors — Risks Related to Doing Business in the PRC —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 in our most recent annual report on Form 20-F incorporated by reference in this prospectus supplement.</w:t>
      </w: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59" w:firstLine="360"/>
        <w:spacing w:after="0" w:line="246" w:lineRule="auto"/>
        <w:rPr>
          <w:sz w:val="20"/>
          <w:szCs w:val="20"/>
          <w:color w:val="auto"/>
        </w:rPr>
      </w:pPr>
      <w:r>
        <w:rPr>
          <w:rFonts w:ascii="Times New Roman" w:cs="Times New Roman" w:eastAsia="Times New Roman" w:hAnsi="Times New Roman"/>
          <w:sz w:val="18"/>
          <w:szCs w:val="18"/>
          <w:color w:val="auto"/>
        </w:rPr>
        <w:t>Adagene was incorporated in the Cayman Islands in February 2011. We conduct our operations in the U.S. primarily through our U.S. subsidiary, Adagene Incorporated, and in China through Adagene Suzhou, which was incorporated in February 2012. The ADSs, each representing one and one quarter (1.25) of our Ordinary Shares, par value US$0.0001 per share, are currently traded on the Nasdaq under the symbol “ADAG”.</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principal executive offices of our main operations are located at 4F, Building C14, No.</w:t>
      </w:r>
    </w:p>
    <w:p>
      <w:pPr>
        <w:spacing w:after="0" w:line="16" w:lineRule="exact"/>
        <w:rPr>
          <w:sz w:val="20"/>
          <w:szCs w:val="20"/>
          <w:color w:val="auto"/>
        </w:rPr>
      </w:pPr>
    </w:p>
    <w:p>
      <w:pPr>
        <w:ind w:left="1280" w:right="459"/>
        <w:spacing w:after="0" w:line="241" w:lineRule="auto"/>
        <w:rPr>
          <w:sz w:val="20"/>
          <w:szCs w:val="20"/>
          <w:color w:val="auto"/>
        </w:rPr>
      </w:pPr>
      <w:r>
        <w:rPr>
          <w:rFonts w:ascii="Times New Roman" w:cs="Times New Roman" w:eastAsia="Times New Roman" w:hAnsi="Times New Roman"/>
          <w:sz w:val="18"/>
          <w:szCs w:val="18"/>
          <w:color w:val="auto"/>
        </w:rPr>
        <w:t xml:space="preserve">218, Xinghu Street, Suzhou Industrial Park Suzhou, Jiangsu Province, 215123, People’s Republic of China. Our San Diego office address is 6048 Cornerstone Court West, Suite C, San Diego, CA 92121. Our registered office is located at Vistra (Cayman) Limited, P. O. Box 31119 Grand Pavilion, Hibiscus Way, 802 West Bay Road, Grand Cayman, KY1 — 1205 Cayman Islands. Our telephone number is +86- 512-8777-3632. Investors should contact us for any inquiries through the address and telephone number of our principal executive office. Our corporate website is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The reference to our website is an inactive textual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right="1159"/>
        <w:spacing w:after="0" w:line="266" w:lineRule="auto"/>
        <w:rPr>
          <w:sz w:val="20"/>
          <w:szCs w:val="20"/>
          <w:color w:val="auto"/>
        </w:rPr>
      </w:pPr>
      <w:r>
        <w:rPr>
          <w:rFonts w:ascii="Times New Roman" w:cs="Times New Roman" w:eastAsia="Times New Roman" w:hAnsi="Times New Roman"/>
          <w:sz w:val="18"/>
          <w:szCs w:val="18"/>
          <w:color w:val="auto"/>
        </w:rPr>
        <w:t>reference only, and information contained therein or connected thereto is not incorporated into this prospectus supplement or the registration statement of which it forms a part.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35" w:lineRule="exact"/>
        <w:rPr>
          <w:sz w:val="20"/>
          <w:szCs w:val="20"/>
          <w:color w:val="auto"/>
        </w:rPr>
      </w:pPr>
    </w:p>
    <w:p>
      <w:pPr>
        <w:ind w:left="1280" w:right="479" w:firstLine="360"/>
        <w:spacing w:after="0"/>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77" w:lineRule="exact"/>
        <w:rPr>
          <w:sz w:val="20"/>
          <w:szCs w:val="20"/>
          <w:color w:val="auto"/>
        </w:rPr>
      </w:pPr>
    </w:p>
    <w:p>
      <w:pPr>
        <w:ind w:left="1820" w:right="41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 Oxley Act”); and</w:t>
      </w:r>
    </w:p>
    <w:p>
      <w:pPr>
        <w:spacing w:after="0" w:line="67" w:lineRule="exact"/>
        <w:rPr>
          <w:rFonts w:ascii="Times New Roman" w:cs="Times New Roman" w:eastAsia="Times New Roman" w:hAnsi="Times New Roman"/>
          <w:sz w:val="18"/>
          <w:szCs w:val="18"/>
          <w:color w:val="auto"/>
        </w:rPr>
      </w:pPr>
    </w:p>
    <w:p>
      <w:pPr>
        <w:ind w:left="1820" w:right="479" w:hanging="182"/>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99" w:lineRule="exact"/>
        <w:rPr>
          <w:sz w:val="20"/>
          <w:szCs w:val="20"/>
          <w:color w:val="auto"/>
        </w:rPr>
      </w:pPr>
    </w:p>
    <w:p>
      <w:pPr>
        <w:ind w:left="1280" w:right="419" w:firstLine="360"/>
        <w:spacing w:after="0" w:line="233"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will remain an emerging growth company until the earliest of the last day of the fiscal year in which we have total annual gross revenues of at least US$1.235 billion; the last day of our fiscal year following the fifth anniversary of the completion of our initial public offering; (iii) the date on which we have issued more than US$1.0 billion in non-convertible debt during the previous</w:t>
      </w:r>
    </w:p>
    <w:p>
      <w:pPr>
        <w:spacing w:after="0" w:line="1" w:lineRule="exact"/>
        <w:rPr>
          <w:sz w:val="20"/>
          <w:szCs w:val="20"/>
          <w:color w:val="auto"/>
        </w:rPr>
      </w:pPr>
    </w:p>
    <w:p>
      <w:pPr>
        <w:ind w:left="1280" w:right="439"/>
        <w:spacing w:after="0" w:line="231" w:lineRule="auto"/>
        <w:rPr>
          <w:sz w:val="20"/>
          <w:szCs w:val="20"/>
          <w:color w:val="auto"/>
        </w:rPr>
      </w:pPr>
      <w:r>
        <w:rPr>
          <w:rFonts w:ascii="Times New Roman" w:cs="Times New Roman" w:eastAsia="Times New Roman" w:hAnsi="Times New Roman"/>
          <w:sz w:val="18"/>
          <w:szCs w:val="18"/>
          <w:color w:val="auto"/>
        </w:rPr>
        <w:t>three years; or (iv) the date on which we are deemed to be a large accelerated filer under the rules of the SEC, which means the market value of our Ordinary Shares that are held by non-affiliates equals or exceeds US$700.0 million as of the last business day of our most recently completed second fiscal quarter.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We have decided not to “opt out” of such exemptions afforded to an emerging growth company.</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35" w:lineRule="exact"/>
        <w:rPr>
          <w:sz w:val="20"/>
          <w:szCs w:val="20"/>
          <w:color w:val="auto"/>
        </w:rPr>
      </w:pPr>
    </w:p>
    <w:p>
      <w:pPr>
        <w:ind w:left="1280" w:right="459" w:firstLine="360"/>
        <w:spacing w:after="0" w:line="239" w:lineRule="auto"/>
        <w:rPr>
          <w:sz w:val="20"/>
          <w:szCs w:val="20"/>
          <w:color w:val="auto"/>
        </w:rPr>
      </w:pPr>
      <w:r>
        <w:rPr>
          <w:rFonts w:ascii="Times New Roman" w:cs="Times New Roman" w:eastAsia="Times New Roman" w:hAnsi="Times New Roman"/>
          <w:sz w:val="18"/>
          <w:szCs w:val="18"/>
          <w:color w:val="auto"/>
        </w:rPr>
        <w:t>We are also considered as a “foreign private issuer.” Accordingly, we report under the Exchange Act of 1934, as amended (the “Exchange Act”), as a non -U.S.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6" w:lineRule="exact"/>
        <w:rPr>
          <w:sz w:val="20"/>
          <w:szCs w:val="20"/>
          <w:color w:val="auto"/>
        </w:rPr>
      </w:pPr>
    </w:p>
    <w:p>
      <w:pPr>
        <w:ind w:left="1820" w:right="51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81" w:lineRule="exact"/>
        <w:rPr>
          <w:sz w:val="20"/>
          <w:szCs w:val="20"/>
          <w:color w:val="auto"/>
        </w:rPr>
      </w:pPr>
    </w:p>
    <w:p>
      <w:pPr>
        <w:ind w:left="1280" w:right="419" w:firstLine="360"/>
        <w:spacing w:after="0" w:line="239"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 this prospectus supplement and in the documents incorporated by reference in this prospectus</w:t>
      </w:r>
    </w:p>
    <w:p>
      <w:pPr>
        <w:spacing w:after="0" w:line="27" w:lineRule="exact"/>
        <w:rPr>
          <w:sz w:val="20"/>
          <w:szCs w:val="20"/>
          <w:color w:val="auto"/>
        </w:rPr>
      </w:pPr>
    </w:p>
    <w:p>
      <w:pPr>
        <w:ind w:left="1280" w:right="579"/>
        <w:spacing w:after="0" w:line="241" w:lineRule="auto"/>
        <w:rPr>
          <w:sz w:val="20"/>
          <w:szCs w:val="20"/>
          <w:color w:val="auto"/>
        </w:rPr>
      </w:pPr>
      <w:r>
        <w:rPr>
          <w:rFonts w:ascii="Times New Roman" w:cs="Times New Roman" w:eastAsia="Times New Roman" w:hAnsi="Times New Roman"/>
          <w:sz w:val="18"/>
          <w:szCs w:val="18"/>
          <w:color w:val="auto"/>
        </w:rPr>
        <w:t>supplement, we have taken advantage of certain of the reduced reporting requirements as a result of being an emerging growth company and a foreign private issuer. Accordingly, the information contained in this prospectus supplement and in the documents incorporated by reference in this prospectus supplement may be different than the information you receive from other public companies in which you hold equity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333"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immediately after this offering Ordinary Shares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Payment and settlement</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Depositary</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440" w:right="719"/>
        <w:spacing w:after="0" w:line="282" w:lineRule="auto"/>
        <w:rPr>
          <w:sz w:val="20"/>
          <w:szCs w:val="20"/>
          <w:color w:val="auto"/>
        </w:rPr>
      </w:pPr>
      <w:r>
        <w:rPr>
          <w:rFonts w:ascii="Times New Roman" w:cs="Times New Roman" w:eastAsia="Times New Roman" w:hAnsi="Times New Roman"/>
          <w:sz w:val="18"/>
          <w:szCs w:val="18"/>
          <w:color w:val="auto"/>
        </w:rPr>
        <w:t>18,666,000 ADSs, representing 23,332,500 Ordinary Shares</w:t>
      </w: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82,564,493 Ordinary Shares</w:t>
      </w:r>
    </w:p>
    <w:p>
      <w:pPr>
        <w:spacing w:after="0" w:line="117" w:lineRule="exact"/>
        <w:rPr>
          <w:sz w:val="20"/>
          <w:szCs w:val="20"/>
          <w:color w:val="auto"/>
        </w:rPr>
      </w:pPr>
    </w:p>
    <w:p>
      <w:pPr>
        <w:ind w:left="440" w:right="45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US$65.3 million, after deducting the underwriting discount and estimated offering expenses payable by us.</w:t>
      </w:r>
    </w:p>
    <w:p>
      <w:pPr>
        <w:spacing w:after="0" w:line="112" w:lineRule="exact"/>
        <w:rPr>
          <w:sz w:val="20"/>
          <w:szCs w:val="20"/>
          <w:color w:val="auto"/>
        </w:rPr>
      </w:pPr>
    </w:p>
    <w:p>
      <w:pPr>
        <w:ind w:left="440" w:right="439"/>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research and development activities on our pipeline candidates, including ADG126, ADG 138 and other programs, and for general corporate purposes. See “Use of Proceeds.”</w:t>
      </w:r>
    </w:p>
    <w:p>
      <w:pPr>
        <w:spacing w:after="0" w:line="75" w:lineRule="exact"/>
        <w:rPr>
          <w:sz w:val="20"/>
          <w:szCs w:val="20"/>
          <w:color w:val="auto"/>
        </w:rPr>
      </w:pPr>
    </w:p>
    <w:p>
      <w:pPr>
        <w:ind w:left="440" w:right="43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subject to certain exceptions, we and our officers and directors, have agreed with the underwriters, without the prior written consent of the representatives, not to offer, pledge, sell, or otherwise transfer or dispose of any shares of our share capital or securities convertible into or exchangeable or exercisable for any shares of our share capital during the period ending 60 days after the date of this prospectus supplement.</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“ADAG”</w:t>
      </w:r>
    </w:p>
    <w:p>
      <w:pPr>
        <w:spacing w:after="0" w:line="117" w:lineRule="exact"/>
        <w:rPr>
          <w:sz w:val="20"/>
          <w:szCs w:val="20"/>
          <w:color w:val="auto"/>
        </w:rPr>
      </w:pPr>
    </w:p>
    <w:p>
      <w:pPr>
        <w:ind w:left="440" w:right="759"/>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on or about April 6, 2026.</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17" w:lineRule="exact"/>
        <w:rPr>
          <w:sz w:val="20"/>
          <w:szCs w:val="20"/>
          <w:color w:val="auto"/>
        </w:rPr>
      </w:pPr>
    </w:p>
    <w:p>
      <w:pPr>
        <w:ind w:left="440" w:right="419"/>
        <w:spacing w:after="0" w:line="255" w:lineRule="auto"/>
        <w:rPr>
          <w:sz w:val="20"/>
          <w:szCs w:val="20"/>
          <w:color w:val="auto"/>
        </w:rPr>
      </w:pPr>
      <w:r>
        <w:rPr>
          <w:rFonts w:ascii="Times New Roman" w:cs="Times New Roman" w:eastAsia="Times New Roman" w:hAnsi="Times New Roman"/>
          <w:sz w:val="18"/>
          <w:szCs w:val="18"/>
          <w:color w:val="auto"/>
        </w:rPr>
        <w:t xml:space="preserve">Investing in our securities involves a high degree of risk. See “Risk Factors” beginning on page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 xml:space="preserve"> of this prospectus and the other information included in, or incorporated by reference into, this prospectus for a discussion of certain factors that you should carefully consider before deciding to invest in shares of our Ordinary Shares or ADSs.</w:t>
      </w:r>
    </w:p>
    <w:p>
      <w:pPr>
        <w:spacing w:after="0" w:line="121" w:lineRule="exact"/>
        <w:rPr>
          <w:sz w:val="20"/>
          <w:szCs w:val="20"/>
          <w:color w:val="auto"/>
        </w:rPr>
      </w:pPr>
    </w:p>
    <w:p>
      <w:pPr>
        <w:sectPr>
          <w:pgSz w:w="11900" w:h="16838" w:orient="portrait"/>
          <w:cols w:equalWidth="0" w:num="2">
            <w:col w:w="4500" w:space="220"/>
            <w:col w:w="5159"/>
          </w:cols>
          <w:pgMar w:left="580" w:top="97" w:right="1440" w:bottom="1440" w:gutter="0" w:footer="0" w:header="0"/>
          <w:type w:val="continuous"/>
        </w:sect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otherwise indicated, the number of shares of Ordinary Shares shown above to be outstanding immediately following this offering is based on 59,231,993 Ordinary Shares outstanding as of December 31, 2025 and excludes</w:t>
      </w:r>
    </w:p>
    <w:p>
      <w:pPr>
        <w:spacing w:after="0" w:line="68" w:lineRule="exact"/>
        <w:rPr>
          <w:sz w:val="20"/>
          <w:szCs w:val="20"/>
          <w:color w:val="auto"/>
        </w:rPr>
      </w:pPr>
    </w:p>
    <w:p>
      <w:pPr>
        <w:ind w:left="1820" w:right="47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1,582,460 Ordinary Shares underlying the outstanding equity awards granted under the 2019 Plan as of December 31, 2025,</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11,747,957 Ordinary Shares underlying the outstanding equity awards granted under the 2021 Plan as of December 31, 2025,</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outstanding warrants, representing right to purchase 1,000,000 ordinary shares; and</w:t>
      </w:r>
    </w:p>
    <w:p>
      <w:pPr>
        <w:spacing w:after="0" w:line="117"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1,062,500 Series A non-voting convertible preferred shares, convertible into 10,625,000 ordinary shares.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Investment in any securities offered pursuant to this prospectus supplement and the accompanying base prospectus involves risks. You should carefully consider the risk factors described below and in our annual report on Form 20-F for the year ended December 31, 2025</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xml:space="preserve"> incorporated by reference in this prospectus supplement, any amendment or update thereto reflected in subsequent filings with the SEC, including in our annual reports on Form 20-F, and all other information contained or incorporated by reference in this prospectus supplement, as updated by our subsequent filings under the Exchange Act. In general, investing in the securities of issuers in emerging market countries such as the PRC involves certain risks not typically associated with investing in securities of U.S. companies. You should pay special attention to subsections headed “Recent Regulatory Developments,” “Holding Company Structure,” and “Risks Related to Doing Business in the PRC” in our most recent annual report on Form 20 -F incorporated by reference.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you purchase the ADSs sold in this offering, you will experience immediate and substantial dilution in the net tangible book value of your ADSs. In addition, we may issue additional equity or debt securities in the future, which may result in additional dilution to you.</w:t>
      </w:r>
    </w:p>
    <w:p>
      <w:pPr>
        <w:spacing w:after="0" w:line="101"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The price per ADS being offered is be higher than the net tangible book value per ADS prior to this offering. As a result, investors purchasing ADSs in this offering will pay a price per ADS that substantially exceeds the value of our tangible assets after subtracting liabilities. Based upon the public offering price of US$3.75 per ADS, new investors will incur immediate dilution of US$2.23 per ADS based on the net tangible book value as of December 31, 2025. For a more detailed discussion of the foregoing, see the section titled “Dilution” below. To the extent outstanding stock options are exercised or outstanding restricted share units are vested, there will be further dilution to new investors. In addition, to the extent we need to raise additional capital in the future and we issue additional Ordinary Shares or securities convertible or exchangeable for our Ordinary Shares, our then existing shareholders may experience dilution and the new securities may have rights senior to those of the ADSs offered in this offering. After this offering is completed, our effective Registration Statement on Form F-3 will remain available to cover the future public offering and our existing “at-the-market offering” program.</w:t>
      </w:r>
    </w:p>
    <w:p>
      <w:pPr>
        <w:spacing w:after="0" w:line="202"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the net proceeds from this offering and may not use them effectively or in a manner desired by our investors.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and development activities on our pipeline candidates, including ADG126, ADG 138 and other programs, and for general corporate purposes. The failure by our management to apply these funds effectively could harm our business. Pending their use, we plan to invest the net proceeds from this offering in short-and intermediate-term, interest-bearing obligations, investment-grade instruments, certificates of deposit or direct or guaranteed obligations of the U.S. government. These investments may not yield a favorable return to our shareholders. If we do not invest or apply the net proceeds from this offering in ways that enhance shareholder value, we may fail to achieve expected financial results, which could cause the price of ADSs to decline.</w:t>
      </w:r>
    </w:p>
    <w:p>
      <w:pPr>
        <w:spacing w:after="0" w:line="193"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ADSs in the public markets, or the perception of such sales, could depress the trading price of the ADSs.</w:t>
      </w:r>
    </w:p>
    <w:p>
      <w:pPr>
        <w:spacing w:after="0" w:line="9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sale of a substantial number of ADSs or other equity-related securities in the public markets, or the perception that such sales could occur, could depress the market price of the ADSs and impair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ability to raise capital through the sale of additional equity securities. We may sell large quantities of ADSs at any time pursuant to this prospectus supplement or in one or more separate offerings. We cannot predict the effect that future sales of ADSs, Ordinary Shares or other equity-related securities would have on the market price of the ADSs.</w:t>
      </w:r>
    </w:p>
    <w:p>
      <w:pPr>
        <w:spacing w:after="0" w:line="176" w:lineRule="exact"/>
        <w:rPr>
          <w:sz w:val="20"/>
          <w:szCs w:val="20"/>
          <w:color w:val="auto"/>
        </w:rPr>
      </w:pPr>
    </w:p>
    <w:p>
      <w:pPr>
        <w:jc w:val="both"/>
        <w:ind w:left="1260" w:right="7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report and filing with the China Securities Regulatory Commission will be required in connection with the offering under this prospectus supplement and our future offerings, and, we cannot predict if we will be able to complete such report and filing process in a timely manner, or at all.</w:t>
      </w:r>
    </w:p>
    <w:p>
      <w:pPr>
        <w:spacing w:after="0" w:line="107"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Trial Measures and Listing Guidelines, subsequent securities offerings of an issuer in (i) the same overseas market where it has previously offered and listed securities, and (ii) an overseas market other than one where the issuer has previously offered and listed securities shall be (a) filed with the CSRC within three working days after offerings are completed, and (b) within three working days after the submission of the application documents for overseas issuance and listing, respectively. Further, the CSRC Filing Notice states that, beginning from March 31, 2023, PRC domestic enterprises which have already issued and listed securities overseas and fall within the scope of filing under the Trial Measures shall be considered “existing enterprises,” or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upon completion of the offering under this prospectus supplement, we shall file post-closing filing report with CSRC within three (3) working days. We intend to comply with such requirements imposed by the Trial Measures and Listing Guidelines. We cannot assure you that we will be able to address the comments from the CSRC, if any, in connection with our filing in a timely and satisfactory manner. Furthermore, any of our future offering and listing of our securities in an overseas market shall be subject to the filing requirements under the Trial Measures and Listing Guidelines. We may face adverse actions or sanctions by the CSRC or other PRC regulatory agencies if we are unable to comply with such requirements, which may result in fines and penalties, restrictions on our operations, having to delist from a stock exchange outside of China, the halting of securities offerings to foreign investors and other actions that could materially and adversely affect our operations and the interest of our investors and cause a significant depreciation in the price of our ordinary shares and ADSs.</w:t>
      </w:r>
    </w:p>
    <w:p>
      <w:pPr>
        <w:spacing w:after="0" w:line="200" w:lineRule="exact"/>
        <w:rPr>
          <w:sz w:val="20"/>
          <w:szCs w:val="20"/>
          <w:color w:val="auto"/>
        </w:rPr>
      </w:pPr>
    </w:p>
    <w:p>
      <w:pPr>
        <w:spacing w:after="0" w:line="204"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or PFIC, for 2025 and certain prior taxable years, if the value of our goodwill is determined by reference to the average of our quarterly market capitalization, and there is a significant risk that we will be a PFIC for 2026 and possibly subsequent taxable years, in which case U.S. investors will generally be subject to adverse U.S. federal income tax consequences.</w:t>
      </w:r>
    </w:p>
    <w:p>
      <w:pPr>
        <w:spacing w:after="0" w:line="11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assets under the PFIC rules to the extent attributable to activities that produce active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 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we were likely a PFIC for our 2025 taxable year and certain of our prior taxable years. For similar reasons, there is a significant risk that we will also be a PFIC for 2026 and possibly future taxable years. In addition, the extent to which our goodwill and other intangible assets should be characterized as a non-passive asset is not entirely clear. We have not obtained any valuation of our assets (including our goodwill and other intangible assets). U.S. investors in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any of our drug candidates (since certain items of active income that we may earn for any taxable year prior to the commercialization of any drug candidate may be non-recurring or conditional).</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our ADSs or ordinary shares, the U.S. investor generally will be subject to adverse U.S. federal income tax consequences, including increased tax liability on disposition gains and “excess distributions,” and additional reporting requirements. This will generally continue to be the case even if we ceased to be a PFIC in a later taxable year, unless certain elections are made. See “Taxation — Material U.S. Federal Income Tax Consequences” below.</w:t>
      </w:r>
    </w:p>
    <w:p>
      <w:pPr>
        <w:spacing w:after="0" w:line="179" w:lineRule="exact"/>
        <w:rPr>
          <w:sz w:val="20"/>
          <w:szCs w:val="20"/>
          <w:color w:val="auto"/>
        </w:rPr>
      </w:pPr>
    </w:p>
    <w:p>
      <w:pPr>
        <w:ind w:left="12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a U.S. person owns, directly or indirectly, our ADSs or ordinary shares and is treated as owning 10% or more of our stock by vote or value, such person may be subject to adverse U.S. federal income tax consequences.</w:t>
      </w:r>
    </w:p>
    <w:p>
      <w:pPr>
        <w:spacing w:after="0" w:line="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10% or more of our stock (including our ADSs and ordinary shares) by value or voting power, such person generally will be treated as a “United States shareholder” with respect to each “controlled foreign corporation,” or CFC, in our group. A CFC is a non-U.S. corporation more than 50% of the stock (by voting power or value) of which is owned (directly, indirectly or constructively) by “United States shareholders.” We have not determined whether we are a CFC. However, even if we are not a CFC, under certain ownership attribution rules our non-U.S. subsidiaries would be treated as owned by our U.S. subsidiary and thus may be treated as CFCs. A United States shareholder that owns stock of a CFC directly or indirectly may be subject to additional U.S. federal income tax liabilities and reporting requirements. We do not intend to furnish any information that may be necessary for United States shareholders, if any, to comply with the CFC rules. U.S. investors that own our ADSs or ordinary shares directly or indirectly and may be treated for purposes of the CFC rules as owning 10% of our stock by voting power or value should consult their tax advisors regarding the potential application of these rules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US$65.3 million, after deducting the underwriting discount and estimated offering expenses payable by us.</w:t>
      </w:r>
    </w:p>
    <w:p>
      <w:pPr>
        <w:spacing w:after="0" w:line="94"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other cash resources, primarily to fund research and development activities on our pipeline candidates, including ADG126, ADG 138 and other programs, and for general corporate purposes, which may include additions to working capital.</w:t>
      </w:r>
    </w:p>
    <w:p>
      <w:pPr>
        <w:spacing w:after="0" w:line="9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Ordinary Shares or the ADSs representing our Ordinary Shares. We currently intend to retain most, if not all, of our available funds and any future earnings to operate and expand our business.</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In the future, we may rely on dividends from our subsidiaries, including our U.S. and PRC subsidiaries, for our cash requirements, including any payment of dividends to our shareholders. PRC regulations may restrict the ability of our PRC subsidiary to pay dividends to us. See “Item 4 Information of the Company — B. Business Overview — Regulation — Regulations relating to Dividend Distribution” in our most recent annual report on Form 20-F incorporated by reference.</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subject to the provisions of our post- offering articles of association, by ordinary resolution declare a dividend, but no dividend may exceed the amount recommended by our board of directors. 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“Item 12 Description of Securities Other Than Equity Securities — D. American Depositary Shares” in our most recent annual report on Form 20-F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the latest date for which we have audited financial statements:</w:t>
      </w:r>
    </w:p>
    <w:p>
      <w:pPr>
        <w:spacing w:after="0" w:line="54"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ADSs in this offering, after deducting estimated offering expenses payable by us.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as adjusted information below is illustrative only. You should read this table together with our audited consolidated financial statements and the related notes and “Item 5. Operating and Financial Review and Prospects” in our most recent annual report on Form 20-F, which is incorporated by reference in this prospectus supplement.</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portion of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borrowings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436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20" w:lineRule="exact"/>
        <w:rPr>
          <w:sz w:val="20"/>
          <w:szCs w:val="20"/>
          <w:color w:val="auto"/>
        </w:rPr>
      </w:pPr>
    </w:p>
    <w:p>
      <w:pPr>
        <w:ind w:left="1620" w:right="120" w:hanging="179"/>
        <w:spacing w:after="0" w:line="266" w:lineRule="auto"/>
        <w:rPr>
          <w:sz w:val="20"/>
          <w:szCs w:val="20"/>
          <w:color w:val="auto"/>
        </w:rPr>
      </w:pPr>
      <w:r>
        <w:rPr>
          <w:rFonts w:ascii="Times New Roman" w:cs="Times New Roman" w:eastAsia="Times New Roman" w:hAnsi="Times New Roman"/>
          <w:sz w:val="18"/>
          <w:szCs w:val="18"/>
          <w:color w:val="auto"/>
        </w:rPr>
        <w:t>Series A non-voting contingently redeemable convertible preferred shares (par value of US$0.0001 per share, 1,062,500 shares authorized, issued and outstanding as of December 31, 2025)</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34" w:lineRule="exact"/>
        <w:rPr>
          <w:sz w:val="20"/>
          <w:szCs w:val="20"/>
          <w:color w:val="auto"/>
        </w:rPr>
      </w:pPr>
    </w:p>
    <w:p>
      <w:pPr>
        <w:ind w:left="1620" w:hanging="179"/>
        <w:spacing w:after="0" w:line="275" w:lineRule="auto"/>
        <w:rPr>
          <w:sz w:val="20"/>
          <w:szCs w:val="20"/>
          <w:color w:val="auto"/>
        </w:rPr>
      </w:pPr>
      <w:r>
        <w:rPr>
          <w:rFonts w:ascii="Times New Roman" w:cs="Times New Roman" w:eastAsia="Times New Roman" w:hAnsi="Times New Roman"/>
          <w:sz w:val="18"/>
          <w:szCs w:val="18"/>
          <w:color w:val="auto"/>
        </w:rPr>
        <w:t>Ordinary shares (par value of US$0.0001 per share; 640,000,000 shares authorized, and 59,231,993 shares issued and outstanding as of December 31, 2025)</w:t>
      </w:r>
    </w:p>
    <w:p>
      <w:pPr>
        <w:spacing w:after="0" w:line="2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mezzanine equity and shareholders’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4"/>
                <w:szCs w:val="24"/>
                <w:color w:val="auto"/>
              </w:rPr>
            </w:pPr>
          </w:p>
        </w:tc>
        <w:tc>
          <w:tcPr>
            <w:tcW w:w="15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December 31,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0"/>
                <w:szCs w:val="20"/>
                <w:color w:val="auto"/>
              </w:rPr>
            </w:pPr>
          </w:p>
        </w:tc>
        <w:tc>
          <w:tcPr>
            <w:tcW w:w="7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Actual   </w:t>
            </w:r>
            <w:r>
              <w:rPr>
                <w:rFonts w:ascii="Times New Roman" w:cs="Times New Roman" w:eastAsia="Times New Roman" w:hAnsi="Times New Roman"/>
                <w:sz w:val="27"/>
                <w:szCs w:val="27"/>
                <w:b w:val="1"/>
                <w:bCs w:val="1"/>
                <w:color w:val="auto"/>
                <w:vertAlign w:val="subscript"/>
              </w:rPr>
              <w:t>​</w:t>
            </w:r>
          </w:p>
        </w:tc>
        <w:tc>
          <w:tcPr>
            <w:tcW w:w="860" w:type="dxa"/>
            <w:vAlign w:val="bottom"/>
            <w:gridSpan w:val="6"/>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gridSpan w:val="2"/>
          </w:tcPr>
          <w:p>
            <w:pPr>
              <w:spacing w:after="0"/>
              <w:rPr>
                <w:sz w:val="20"/>
                <w:szCs w:val="20"/>
                <w:color w:val="auto"/>
              </w:rPr>
            </w:pPr>
          </w:p>
        </w:tc>
        <w:tc>
          <w:tcPr>
            <w:tcW w:w="98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7"/>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ind w:left="60"/>
              <w:spacing w:after="0" w:line="24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74,524</w:t>
            </w:r>
            <w:r>
              <w:rPr>
                <w:rFonts w:ascii="Times New Roman" w:cs="Times New Roman" w:eastAsia="Times New Roman" w:hAnsi="Times New Roman"/>
                <w:sz w:val="28"/>
                <w:szCs w:val="28"/>
                <w:color w:val="auto"/>
                <w:vertAlign w:val="subscript"/>
              </w:rPr>
              <w:t>​​</w:t>
            </w:r>
          </w:p>
        </w:tc>
        <w:tc>
          <w:tcPr>
            <w:tcW w:w="860" w:type="dxa"/>
            <w:vAlign w:val="bottom"/>
            <w:gridSpan w:val="6"/>
          </w:tcPr>
          <w:p>
            <w:pPr>
              <w:jc w:val="right"/>
              <w:spacing w:after="0" w:line="246"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​139,821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16,550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75"/>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​​366,043​​</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431,339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(1,915)</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18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8"/>
                <w:szCs w:val="18"/>
                <w:color w:val="auto"/>
              </w:rPr>
              <w:t>(328,785)</w:t>
            </w:r>
          </w:p>
        </w:tc>
        <w:tc>
          <w:tcPr>
            <w:tcW w:w="860" w:type="dxa"/>
            <w:vAlign w:val="bottom"/>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(328,785)</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1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500" w:type="dxa"/>
            <w:vAlign w:val="bottom"/>
          </w:tcPr>
          <w:p>
            <w:pPr>
              <w:spacing w:after="0"/>
              <w:rPr>
                <w:sz w:val="7"/>
                <w:szCs w:val="7"/>
                <w:color w:val="auto"/>
              </w:rPr>
            </w:pP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117,197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53,749​​</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119,047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-2767965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200"/>
            <w:col w:w="2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you invest in our Ordinary Shares and/or ADSs in this offering, your ownership interest will be diluted immediately to the extent of the difference between the price you pay in this offering and the net tangible book value per Ordinary Share after this offering.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net tangible book value as of December 31, 2025 was approximately US$35.16 million,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US$0.59 per Ordinary Shares, based on 59,231,993 Ordinary Shares then outstanding. After giving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offering of 18,666,000 ADS at the offering price of US$3.75 per ADS and after deducting the estimated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underwriting discount and estimated offering expenses payable by us, our net tangible book value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 would have been approximately US$100.5 million, or US$1.22 per Ordinary Share.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represents an immediate increase in net tangible book value of US$0.62 per Ordinary Share to existing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and an immediate dilution of US$1.78 per Ordinary Share to investors in this offering.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table illustrates this per share dilution. The as adjusted information is illustrative only and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 based on the actual price to the investors, the actual number of shares sold and other terms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 determined at the time our ADSs are sold pursuant to this prospectus supplement.</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public offering price per ADS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Increase in net tangible book value per share to existing shareholders</w:t>
      </w:r>
    </w:p>
    <w:p>
      <w:pPr>
        <w:spacing w:after="0" w:line="50" w:lineRule="exact"/>
        <w:rPr>
          <w:sz w:val="20"/>
          <w:szCs w:val="20"/>
          <w:color w:val="auto"/>
        </w:rPr>
      </w:pPr>
    </w:p>
    <w:p>
      <w:pPr>
        <w:ind w:left="1260"/>
        <w:spacing w:after="0" w:line="344" w:lineRule="auto"/>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 Dilution per share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900" w:type="dxa"/>
            <w:vAlign w:val="bottom"/>
          </w:tcPr>
          <w:p>
            <w:pPr>
              <w:spacing w:after="0"/>
              <w:rPr>
                <w:sz w:val="14"/>
                <w:szCs w:val="14"/>
                <w:color w:val="auto"/>
              </w:rPr>
            </w:pPr>
          </w:p>
        </w:tc>
      </w:tr>
      <w:tr>
        <w:trPr>
          <w:trHeight w:val="269"/>
        </w:trPr>
        <w:tc>
          <w:tcPr>
            <w:tcW w:w="1000" w:type="dxa"/>
            <w:vAlign w:val="bottom"/>
          </w:tcPr>
          <w:p>
            <w:pPr>
              <w:spacing w:after="0" w:line="269"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Share</w:t>
            </w:r>
          </w:p>
        </w:tc>
        <w:tc>
          <w:tcPr>
            <w:tcW w:w="900" w:type="dxa"/>
            <w:vAlign w:val="bottom"/>
          </w:tcPr>
          <w:p>
            <w:pPr>
              <w:ind w:left="40"/>
              <w:spacing w:after="0" w:line="269"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ADS </w:t>
            </w:r>
            <w:r>
              <w:rPr>
                <w:rFonts w:ascii="Times New Roman" w:cs="Times New Roman" w:eastAsia="Times New Roman" w:hAnsi="Times New Roman"/>
                <w:sz w:val="28"/>
                <w:szCs w:val="28"/>
                <w:b w:val="1"/>
                <w:bCs w:val="1"/>
                <w:color w:val="auto"/>
                <w:vertAlign w:val="subscript"/>
              </w:rPr>
              <w:t>​</w:t>
            </w:r>
          </w:p>
        </w:tc>
      </w:tr>
    </w:tbl>
    <w:p>
      <w:pPr>
        <w:spacing w:after="0"/>
        <w:rPr>
          <w:sz w:val="20"/>
          <w:szCs w:val="20"/>
          <w:color w:val="auto"/>
        </w:rPr>
      </w:pPr>
      <w:r>
        <w:rPr>
          <w:rFonts w:ascii="Times New Roman" w:cs="Times New Roman" w:eastAsia="Times New Roman" w:hAnsi="Times New Roman"/>
          <w:sz w:val="18"/>
          <w:szCs w:val="18"/>
          <w:color w:val="auto"/>
        </w:rPr>
        <w:t>​ ​ ​US$ 3.00 ​​ ​​US$3.75​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 ​US$ 0.59</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​​US$0.74​</w:t>
            </w:r>
          </w:p>
        </w:tc>
      </w:tr>
      <w:tr>
        <w:trPr>
          <w:trHeight w:val="25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 ​US$ 0.62</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​​US$0.78​</w:t>
            </w:r>
          </w:p>
        </w:tc>
      </w:tr>
      <w:tr>
        <w:trPr>
          <w:trHeight w:val="26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 ​US$ 1.22</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​​US$1.52​</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 ​US$ 1.78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​​US$2.23​</w:t>
            </w:r>
          </w:p>
        </w:tc>
      </w:tr>
    </w:tbl>
    <w:p>
      <w:pPr>
        <w:spacing w:after="0" w:line="103" w:lineRule="exact"/>
        <w:rPr>
          <w:sz w:val="20"/>
          <w:szCs w:val="20"/>
          <w:color w:val="auto"/>
        </w:rPr>
      </w:pPr>
    </w:p>
    <w:p>
      <w:pPr>
        <w:sectPr>
          <w:pgSz w:w="11900" w:h="16838" w:orient="portrait"/>
          <w:cols w:equalWidth="0" w:num="2">
            <w:col w:w="7260" w:space="340"/>
            <w:col w:w="22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above discussion and table are based on our actual Ordinary Shares outstanding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 The discussion and tables above also assume (i) no exercise of any awards outstanding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of the date of this prospectus, (ii) no exercise of 1,000,000 outstanding warrants, representing right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1,000,000 ordinary shares, and (iii) no conversion of 1,0625,000 Series A non-voting convertible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shares into 10,625,000 ordinary shares.</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2025, the aggregate number of our ordinary shares underlying our outstanding awards under the 2019 Plan was 1,582,460. As of December 31, 2025, we have granted 11,747,957 shares awards under the 2021 Plan, excluding awards that were forfeited, cancelled or exercised after the relevant grant dates. The weighted average exercise price of awards under the 2019 Plan and 2021 Plan was US$4.61 and US$1.73 per Ordinary Share, respectively, excluding awards that were forfeited, cancelled or exercised after the relevant grant dates. 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supplement,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Walkers (Hong Kong), our Cayman Islands counsel. To the extent that the discussion relates to matters of PRC tax law, it represents the opinion of Jingtian &amp; Gongcheng, our PRC legal counsel.</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According to Walkers (Hong Kong), our Cayman Islands counsel, the Cayman Islands currently levies no taxes on individuals or corporations based upon profits, income, gains or appreciation,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PRC Income Tax Considerations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According to Jingtian &amp; Gongcheng, our PRC legal counsel, under the PRC EIT Law, which became effective on January 1, 2008 and was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w:t>
      </w: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on dividends we pay to our non-PRC enterprise shareholders (including our ADS holders).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in practice non-PRC shareholders of our company would be able to obtain the benefits of any tax treaties between their country of tax residence and the PRC in the event that we are treated as a PRC resident enterprise.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U.S. federal income tax consequences to the U.S. Holders described below of the ownership and disposition of the ADSs or ordinary shares. This discussion is not a comprehensive description of all of the tax considerations that may be relevant to your decision to hold the ADSs or ordinary shares. This discussion applies to you only if you are a U.S. Holder that acquires the ADSs in this offering and holds them or the underlying ordinary shares as capital assets for U.S. federal income tax purposes. In addition, it does not describe all of the tax consequences that may be relevant in light of your particular circumstances, including the any minimum tax, the Medicare contribution tax on net investment income, and tax consequences applicable to you if you are subject to special rules, such as:</w:t>
      </w:r>
    </w:p>
    <w:p>
      <w:pPr>
        <w:spacing w:after="0" w:line="84"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certain financial institutions;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ADSs or ordinary shares as part of a straddle, conversion transaction, integrated transaction or similar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classified as a partnership for U.S. federal income tax purposes (and investors therein);</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“Roth IRA”;</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at any time 10% or more of our stock by vote or value; or</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ADSs or ordinary shares in connection with a trade or business conducted outside the United States.</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consequences to your partners will generally depend on their status and your activities. Partnerships holding ADSs or ordinary shares and their partners should consult their tax advisors as to the particular U.S. federal income tax consequences of acquiring, owning or disposing of the ADSs or ordinary shares.</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and final, temporary and proposed Treasury regulations, and the income tax treaty between the United States and the PRC, or the Treaty, all as of the date hereof, any of which is subject to change, possibly with retroactive effect.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you are a “U.S. Holder” if you are eligible for the benefits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Treaty and are, for U.S. federal income tax purposes, a beneficial owner of ADSs or ordinary shares and:</w:t>
      </w:r>
    </w:p>
    <w:p>
      <w:pPr>
        <w:spacing w:after="0" w:line="99"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In general, if you own ADSs you will be treated as the owner of the underlying ordinary shares represented by those ADSs for U.S. federal income tax purposes. Accordingly, no gain or loss will be recognized if you exchange ADSs for the underlying ordinary shares represented by those ADSs.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discussed in certain of our Annual Reports on Form 20-F, we were likely a PFIC for 2025 and certain prior taxable years. In general, a non-U.S. corporation will be a passive foreign investment company, or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assets under the PFIC rules to the extent attributable to activities that produce active income.</w:t>
      </w:r>
    </w:p>
    <w:p>
      <w:pPr>
        <w:spacing w:after="0" w:line="12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w:t>
      </w:r>
    </w:p>
    <w:p>
      <w:pPr>
        <w:spacing w:after="0" w:line="3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we were likely a PFIC for our 2025 taxable year and certain prior taxable years. For similar reasons, there is a significant risk that we will also be a PFIC for 2026 and possibly future taxable years. In addition, the extent to which our goodwill and other intangible assets should be characterized as a non-passive asset is not entirely clear. We have not obtained any valuation of our assets (including our goodwill and other intangible assets). U.S. Holders of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our drug candidates (since certain items of active income that we may earn for any taxable year prior to the commercialization of any drug candidate may be non-recurring or conditional).</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and any of our subsidiaries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will not receive the proceeds of those distributions or dispositions.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holds our ADSs or ordinary shares, gain recognized by such U.S. Holder on a sale or other disposition (including certain pledges) of its ADSs or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ordinary shares exceed 125% of the average of the annual distributions on the ADSs or ordinary shares received during the preceding three taxable years or the U.S. Holder’s holding period, whichever is shorter, the excess distributions will be subject to taxation in the same manner.</w:t>
      </w: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during which a U.S. Holder owns our ADSs or ordinary shares, we will generally continue to be treated as a PFIC with respect to the U.S. Holder for all succeeding taxable years during which the U.S. Holder owns the ADSs or ordinary shares, even if we cease to meet the threshold requirements for PFIC status. If we are a PFIC for any taxable year but cease to be PFIC for subsequent years, U.S. Holders should consult their tax advisors regarding the advisability of making a “deemed sale” election that will allow them to eliminate the continuing PFIC status under certain circumstances, but may require them to recognize gain taxed under the general PFIC rules described in the preceding paragraph.</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Alternatively, if we are a PFIC and if the ADSs are “regularly traded” on a “qualified exchange” within the meaning of the Code, a U.S. Holder of ADSs may make a mark-to-market election that will result in tax treatment different from the general tax treatment for PFICs described above. The ADSs will be treated as “regularly traded” for any calendar year in which more than a de minimis quantity of the ADSs are traded on a qualified exchange on at least 15 days during each calendar quarter. The Nasdaq Global Market, where the ADSs are listed, is a qualified exchange for this purpose, but there is no assurance that our ADSs will be treated as regularly traded for any relevant period. 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 Taxation of Distributions” below (but subject to the discussion in the immediately subsequent paragraph). U.S. Holders should consult their tax advisors regarding the availability and advisability of making a mark-to-market election in their particular circumstances. In particular, U.S. Holders should consider carefully the impact of a mark-to-market election with respect to their ADSs because we may have Lower-tier PFICs for which a mark-to-market election likely cannot be made.</w:t>
      </w:r>
    </w:p>
    <w:p>
      <w:pPr>
        <w:spacing w:after="0" w:line="35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favorable tax rates for dividends paid to certain non-corporate U.S. Holders of ADSs, which are discussed below, do not apply to dividends from a corporation that is a PFIC (or is treated as a PFIC with respect to a U.S. Holder) in the year the dividend is paid or the preceding year. We do not intend to provide information necessary for U.S. Holders to make a “qualified electing fund election,” which, if available, would result in tax treatment different from the tax treatment for PFICs described above.</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ordinary shares, the U.S. Holder will generally be required to file annual reports with the Internal Revenue Service (the “IRS”). U.S. Holders should consult their tax advisors regarding the PFIC rules and their application.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0"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subject to the discussion under </w:t>
      </w:r>
      <w:r>
        <w:rPr>
          <w:rFonts w:ascii="Times New Roman" w:cs="Times New Roman" w:eastAsia="Times New Roman" w:hAnsi="Times New Roman"/>
          <w:sz w:val="18"/>
          <w:szCs w:val="18"/>
          <w:i w:val="1"/>
          <w:iCs w:val="1"/>
          <w:color w:val="auto"/>
        </w:rPr>
        <w:t>“— Passive Foreign Investment Company Rules”</w:t>
      </w:r>
      <w:r>
        <w:rPr>
          <w:rFonts w:ascii="Times New Roman" w:cs="Times New Roman" w:eastAsia="Times New Roman" w:hAnsi="Times New Roman"/>
          <w:sz w:val="18"/>
          <w:szCs w:val="18"/>
          <w:color w:val="auto"/>
        </w:rPr>
        <w:t xml:space="preserve"> above.</w:t>
      </w:r>
    </w:p>
    <w:p>
      <w:pPr>
        <w:spacing w:after="0" w:line="9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Distributions paid on ADSs or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any distributions will be reported to you as dividends. Dividends from us will not be eligible for the dividends-received deduction generally available to U.S. corporations under the Code. Subject to applicable limitations, dividends paid by “qualified foreign corporations” to certain non-corporate U.S. owners of stock that is readily tradable on an “established securities market” in the United States may be taxed at a preferential rate. However, the preferential rate does not apply if we are (or are treated with respect to a U.S. Holder as) a PFIC for the taxable year in which the dividend is paid or the preceding taxable year. Non-corporate U.S. Holders should consult their tax advisors to determine whether the favorable rate will apply to dividends they receive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(taking into account our PFIC status for any taxable year) and whether they are subject to any special rules that limit their ability to be taxed at this favorable rate in case it is otherwise available.</w:t>
      </w:r>
    </w:p>
    <w:p>
      <w:pPr>
        <w:spacing w:after="0" w:line="8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 Material PRC Income Tax Considerations,” dividends paid by us may be subject to PRC withholding tax. For U.S. federal income tax purposes, the amount of the dividend income will include any amounts withheld in respect of PRC withholding tax. Subject to applicable limitations, which vary depending upon your circumstances, PRC taxes withheld from dividend payments (at a rate not exceeding any applicable rate provided by the Treaty) generally will be creditable against your U.S. federal income tax liability. The rules governing foreign tax credits are complex. For example, certain Treasury regulations (the “Foreign Tax Credit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of in such notice or other guidance). In lieu of claiming a credit, you may elect to deduct creditable PRC taxes in computing your taxable income, subject to applicable limitations. An election to deduct foreign taxes instead of claiming foreign tax credits applies to all otherwise creditable foreign taxes paid or accrued in the taxable year. You should consult your tax advisors regarding the creditability or deductibility of foreign taxes in your particular circumstances.</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146"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subject to the discussion under </w:t>
      </w:r>
      <w:r>
        <w:rPr>
          <w:rFonts w:ascii="Times New Roman" w:cs="Times New Roman" w:eastAsia="Times New Roman" w:hAnsi="Times New Roman"/>
          <w:sz w:val="18"/>
          <w:szCs w:val="18"/>
          <w:i w:val="1"/>
          <w:iCs w:val="1"/>
          <w:color w:val="auto"/>
        </w:rPr>
        <w:t>“— Passive Foreign Investment Company Rules”</w:t>
      </w:r>
      <w:r>
        <w:rPr>
          <w:rFonts w:ascii="Times New Roman" w:cs="Times New Roman" w:eastAsia="Times New Roman" w:hAnsi="Times New Roman"/>
          <w:sz w:val="18"/>
          <w:szCs w:val="18"/>
          <w:color w:val="auto"/>
        </w:rPr>
        <w:t xml:space="preserve"> above.</w:t>
      </w:r>
    </w:p>
    <w:p>
      <w:pPr>
        <w:spacing w:after="0" w:line="9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The amount of the gain or loss recognized on a sale or other taxable exchange of ADSs or ordinary shares will equal the difference between your tax basis in the ADSs or ordinary shares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322"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As described in “— Material PRC Income Tax Considerations” above, gains on the sale of ADSs or ordinary shares may be subject to PRC taxes. Under the Code, capital gains of U.S. persons are generally treated as U.S. -source income. However, you may be able to elect to treat the gain as foreign-source income under the Treaty and claim foreign tax credit in respect of any PRC tax on dispositions. The Foreign Tax Credit Regulations generally preclude you from claiming a foreign tax credit with respect to PRC income taxes on gains from dispositions of ADSs or ordinary shares if you do not elect to apply the benefits of the Treaty. The IRS has released notices that provide relief from certain of the provisions of the Foreign Tax Credit Regulations for taxable years ending before the date that a notice or other guidance withdrawing or modifying the temporary relief is issued (or any later date specified in such notice or other guidance). However, even if the Foreign Tax Credit Regulations do not prohibit you from claiming a foreign tax credit with respect to PRC taxes on disposition gains, other limitations under the foreign tax credit rules may preclude you from claiming (or limit your ability to claim) a foreign tax credit. In lieu of claiming a credit, it is possible that any PRC taxes on disposition gains may either be deductible or reduce the amount realized on the disposition. The rules governing foreign tax credits and deductibility of foreign taxes are complex. You should consult your tax advisor regarding the consequences of the imposition of any PRC tax on disposition gains, including the Treaty’s resourcing rule, any reporting requirements with respect to a Treaty-based return position and the creditability or deductibility of the PRC tax on disposition gains in your particular circumstances (including any applicable limitations).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sales proceeds from the sale or exchange of our ADSs or ordinary shares that are made within the United States or through certain U.S.-related financial intermediaries generally are subject to information reporting, and may be subject to backup withholding, unless (i) you are a corporation or other exempt recipient (and if required, establish your exempt status) or (ii) in the case of backup</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61" w:lineRule="auto"/>
        <w:rPr>
          <w:sz w:val="20"/>
          <w:szCs w:val="20"/>
          <w:color w:val="auto"/>
        </w:rPr>
      </w:pPr>
      <w:r>
        <w:rPr>
          <w:rFonts w:ascii="Times New Roman" w:cs="Times New Roman" w:eastAsia="Times New Roman" w:hAnsi="Times New Roman"/>
          <w:sz w:val="18"/>
          <w:szCs w:val="18"/>
          <w:color w:val="auto"/>
        </w:rPr>
        <w:t>withholding, you provide a correct taxpayer identification number and certify that you are not subject to backup withholding. Backup withholding is not an additional tax. The amount of any backup withholding from a payment to you will be allowed as a credit against your U.S. federal income tax liability and may entitle you to a refund, provided that the required information is timely furnished to the IRS.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specified entities) may be required to report information relating to their ownership of ordinary shares, or non-U.S. accounts through which ADSs or ordinary shares are held. You should consult your tax advisor regarding your reporting obligations with respect to the ADSs and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Leerink Partners LLC and LifeSci Capital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the ADSs set forth opposite its name below.</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62"/>
        </w:trPr>
        <w:tc>
          <w:tcPr>
            <w:tcW w:w="4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480" w:type="dxa"/>
            <w:vAlign w:val="bottom"/>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ADSs   </w:t>
            </w:r>
            <w:r>
              <w:rPr>
                <w:rFonts w:ascii="Times New Roman" w:cs="Times New Roman" w:eastAsia="Times New Roman" w:hAnsi="Times New Roman"/>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2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​​13,066,200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216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4,666,500​</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Lucid Capital Markets, LLC</w:t>
            </w:r>
          </w:p>
        </w:tc>
        <w:tc>
          <w:tcPr>
            <w:tcW w:w="21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rPr>
                <w:sz w:val="22"/>
                <w:szCs w:val="22"/>
                <w:color w:val="auto"/>
              </w:rPr>
            </w:pPr>
          </w:p>
        </w:tc>
        <w:tc>
          <w:tcPr>
            <w:tcW w:w="10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​18,666,000</w:t>
            </w:r>
            <w:r>
              <w:rPr>
                <w:rFonts w:ascii="Times New Roman" w:cs="Times New Roman" w:eastAsia="Times New Roman" w:hAnsi="Times New Roman"/>
                <w:sz w:val="28"/>
                <w:szCs w:val="28"/>
                <w:color w:val="auto"/>
                <w:vertAlign w:val="subscript"/>
              </w:rPr>
              <w:t>​</w:t>
            </w:r>
          </w:p>
        </w:tc>
      </w:tr>
      <w:tr>
        <w:trPr>
          <w:trHeight w:val="21"/>
        </w:trPr>
        <w:tc>
          <w:tcPr>
            <w:tcW w:w="4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-719455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ADSs sold under the underwriting agreement if any of the ADSs are purchased. If an underwriter defaults, the underwriting agreement provides that the purchase commitments of the non-defaulting underwriters may be increased or the underwriting agreement may be terminated.</w:t>
      </w:r>
    </w:p>
    <w:p>
      <w:pPr>
        <w:spacing w:after="0" w:line="32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ADSs, subject to prior sale, when, as and if issued to and accepted by them, subject to approval of legal matters by their counsel, including the validity of the ADSs,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to offer the ADSs at the public offering price set forth on the cover page of this prospectus supplement and to dealers at that price less a concession not in excess of $ 0.135 per ADS. After the initial offering of the ADSs, the public offering price, concession or any other term of this offering may be changed by the representatives.</w:t>
      </w:r>
    </w:p>
    <w:p>
      <w:pPr>
        <w:spacing w:after="0" w:line="11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2"/>
          </w:tcPr>
          <w:p>
            <w:pPr>
              <w:ind w:left="1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  $3.75</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​$69,997,500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9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​$0.225</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$4,199,850​</w:t>
            </w:r>
          </w:p>
        </w:tc>
      </w:tr>
      <w:tr>
        <w:trPr>
          <w:trHeight w:val="25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​$3.525</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​$65,797,650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1490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97"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$ 500,000. We also have agreed to reimburse the underwriters for up to $25,000 for their FINRA counsel fee. In accordance with FINRA Rule 5110, this reimbursed fee is deemed underwriting compensation for this offering.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and our executive officers and directors have agreed not to sell or transfer any ADSs, Ordinary Shares or securities convertible into or exchangeable or exercisable for ADSs or Ordinary Shares, for</w:t>
      </w:r>
    </w:p>
    <w:p>
      <w:pPr>
        <w:ind w:left="1260"/>
        <w:spacing w:after="0"/>
        <w:rPr>
          <w:sz w:val="20"/>
          <w:szCs w:val="20"/>
          <w:color w:val="auto"/>
        </w:rPr>
      </w:pPr>
      <w:r>
        <w:rPr>
          <w:rFonts w:ascii="Times New Roman" w:cs="Times New Roman" w:eastAsia="Times New Roman" w:hAnsi="Times New Roman"/>
          <w:sz w:val="18"/>
          <w:szCs w:val="18"/>
          <w:color w:val="auto"/>
        </w:rPr>
        <w:t>60 days after the date of this prospectus supplement without first obtaining the written consent of Leerink</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Partners LLC on behalf of the underwriters. Specifically, we and these other persons have agreed, with certain limited exceptions, not to directly or indirectly:</w:t>
      </w:r>
    </w:p>
    <w:p>
      <w:pPr>
        <w:spacing w:after="0" w:line="40"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ADSs or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ADSs or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ADSs or Ordinary Shares; or</w:t>
      </w:r>
    </w:p>
    <w:p>
      <w:pPr>
        <w:spacing w:after="0" w:line="90" w:lineRule="exact"/>
        <w:rPr>
          <w:rFonts w:ascii="Times New Roman" w:cs="Times New Roman" w:eastAsia="Times New Roman" w:hAnsi="Times New Roman"/>
          <w:sz w:val="18"/>
          <w:szCs w:val="18"/>
          <w:color w:val="auto"/>
        </w:rPr>
      </w:pPr>
    </w:p>
    <w:p>
      <w:pPr>
        <w:ind w:left="1800" w:right="87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ADSs or Ordinary Shares, whether any such swap, agreement or transaction is to be settled by delivery of shares or other securities, in cash or otherwise.</w:t>
      </w:r>
    </w:p>
    <w:p>
      <w:pPr>
        <w:spacing w:after="0" w:line="112"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lock -up provisions apply to ADSs and Ordinary Shares and to securities convertible into or exchangeable or exercisable for ADSs or Ordinary Shares. They also apply to ADSs or Ordinary Shares owned now or acquired later by the person executing the lock-up agreement or for which the person executing the lock-up agreement later acquires the power of disposition.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“ADAG.”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Until the distribution of the ADSs is completed, SEC rules may limit underwriters and selling group members from bidding for and purchasing our ADSs. However, the representatives may engage in transactions that stabilize the price of the ADSs, such as bids or purchases to peg, fix or maintain that price.</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this offering.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 Stabilizing transactions consist of various bids for or purchases of ADSs made by the underwriters in the open market prior to the closing of this offering.</w:t>
      </w:r>
    </w:p>
    <w:p>
      <w:pPr>
        <w:spacing w:after="0" w:line="328"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32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Market, in the over-the-counter market or otherwise.</w:t>
      </w:r>
    </w:p>
    <w:p>
      <w:pPr>
        <w:spacing w:after="0" w:line="114"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4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33" w:lineRule="exact"/>
        <w:rPr>
          <w:sz w:val="20"/>
          <w:szCs w:val="20"/>
          <w:color w:val="auto"/>
        </w:rPr>
      </w:pPr>
    </w:p>
    <w:p>
      <w:pPr>
        <w:ind w:left="1980" w:right="97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6" w:lineRule="exact"/>
        <w:rPr>
          <w:sz w:val="20"/>
          <w:szCs w:val="20"/>
          <w:color w:val="auto"/>
        </w:rPr>
      </w:pPr>
    </w:p>
    <w:p>
      <w:pPr>
        <w:ind w:left="1260" w:right="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Article 3 of the Prospectus Regulation or supplement a prospectus pursuant to Article 23 of the Prospectus Regulation or publish an Annex IX document pursuant to Article 1(4) of the Prospectus Regulation.</w:t>
      </w:r>
    </w:p>
    <w:p>
      <w:pPr>
        <w:spacing w:after="0" w:line="31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except that the securities may be offered to the public in the United Kingdom at any time:</w:t>
      </w:r>
    </w:p>
    <w:p>
      <w:pPr>
        <w:spacing w:after="0" w:line="108" w:lineRule="exact"/>
        <w:rPr>
          <w:sz w:val="20"/>
          <w:szCs w:val="20"/>
          <w:color w:val="auto"/>
        </w:rPr>
      </w:pPr>
    </w:p>
    <w:p>
      <w:pPr>
        <w:jc w:val="both"/>
        <w:ind w:left="1980" w:right="63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securities to trading on the London Stock Exchange plc’s main market (in reliance on the exception in paragraph 6(a) of Schedule 1 of the POATR);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19" w:hanging="360"/>
        <w:spacing w:after="0" w:line="275"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representatives for any such offer; or</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to any person which presents sufficient information on:</w:t>
      </w:r>
    </w:p>
    <w:p>
      <w:pPr>
        <w:ind w:left="1260" w:right="699"/>
        <w:spacing w:after="0" w:line="255" w:lineRule="auto"/>
        <w:tabs>
          <w:tab w:leader="none" w:pos="15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offered; and (b) the terms on which they are to be offered, to enable an investor to decide to buy or subscribe for the securities and the expressions “POATR” means the Public Offers and Admissions to Trading Regulations 2024.</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w:t>
      </w: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Latham &amp; Watkins LLP. The validity of the Ordinary Shares represented by the ADSs offered in this offering and other certain legal matters as to Cayman Islands law will be passed upon for us by Walkers (Hong Kong). Legal matters as to PRC law will be passed upon for us by Jingtian &amp; Gongcheng and for the underwriters by Zhong Lun Law Firm. Davis Polk &amp; Wardwell LLP may rely upon Walkers (Hong Kong) with respect to matters governed by Cayman Islands law and Jingtian &amp; Gongcheng with respect to matters governed by PRC law. Latham &amp; Watkins LLP may rely upon Zhong Lun Law Firm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20-F for the year ended December 31, 2025 have been so incorporated in reliance on the report of PricewaterhouseCoopers Zhong Tian LLP, an independent registered public accounting firm, given on the authority of said firm as experts in auditing and accounting.</w:t>
      </w:r>
    </w:p>
    <w:p>
      <w:pPr>
        <w:spacing w:after="0" w:line="11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The office of PricewaterhouseCoopers Zhong Tian LLP is located at 42/F New Bund Center, 588 Dongyu Road, Pudong New Area, Shanghai 200126,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U.S. Securities and Exchange Commission a registration statement (including amendments and exhibits to the registration statement) on Form F-3 under the Securities Act.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Our website is not a part of this prospectus supplement and is not incorporated by reference in this prospectus supplement. We furnish reports and other information to the SEC. You may also read and copy any document we file at the SEC’s public reference facilities and the website of the SEC referred to above. Our file number with the SEC is 001-39997.</w:t>
      </w:r>
    </w:p>
    <w:p>
      <w:pPr>
        <w:spacing w:after="0" w:line="12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17" w:lineRule="exact"/>
        <w:rPr>
          <w:sz w:val="20"/>
          <w:szCs w:val="20"/>
          <w:color w:val="auto"/>
        </w:rPr>
      </w:pPr>
    </w:p>
    <w:p>
      <w:pPr>
        <w:ind w:left="1800" w:right="559" w:hanging="180"/>
        <w:spacing w:after="0" w:line="282" w:lineRule="auto"/>
        <w:tabs>
          <w:tab w:leader="none" w:pos="1800" w:val="left"/>
        </w:tabs>
        <w:numPr>
          <w:ilvl w:val="0"/>
          <w:numId w:val="29"/>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our annual report on Form 20-F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April 1, 2026; and</w:t>
        </w:r>
      </w:hyperlink>
    </w:p>
    <w:p>
      <w:pPr>
        <w:spacing w:after="0" w:line="53" w:lineRule="exact"/>
        <w:rPr>
          <w:rFonts w:ascii="Times New Roman" w:cs="Times New Roman" w:eastAsia="Times New Roman" w:hAnsi="Times New Roman"/>
          <w:sz w:val="18"/>
          <w:szCs w:val="18"/>
          <w:u w:val="single" w:color="auto"/>
          <w:color w:val="0000EE"/>
        </w:rPr>
      </w:pPr>
    </w:p>
    <w:p>
      <w:pPr>
        <w:ind w:left="1800" w:right="439" w:hanging="180"/>
        <w:spacing w:after="0" w:line="266" w:lineRule="auto"/>
        <w:tabs>
          <w:tab w:leader="none" w:pos="1800" w:val="left"/>
        </w:tabs>
        <w:numPr>
          <w:ilvl w:val="0"/>
          <w:numId w:val="29"/>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the description of </w:t>
        </w:r>
        <w:r>
          <w:rPr>
            <w:rFonts w:ascii="Times New Roman" w:cs="Times New Roman" w:eastAsia="Times New Roman" w:hAnsi="Times New Roman"/>
            <w:sz w:val="18"/>
            <w:szCs w:val="18"/>
            <w:u w:val="single" w:color="auto"/>
            <w:color w:val="0000EE"/>
          </w:rPr>
          <w:t>our Ordinary Shares contained in the registration statement on Form 8-A filed with</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the SEC on February 3, 2021</w:t>
        </w:r>
        <w:r>
          <w:rPr>
            <w:rFonts w:ascii="Times New Roman" w:cs="Times New Roman" w:eastAsia="Times New Roman" w:hAnsi="Times New Roman"/>
            <w:sz w:val="18"/>
            <w:szCs w:val="18"/>
            <w:color w:val="000000"/>
          </w:rPr>
          <w:t>, and any other amendment or report filed for the purpose of updating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description.</w:t>
      </w:r>
    </w:p>
    <w:p>
      <w:pPr>
        <w:spacing w:after="0" w:line="95" w:lineRule="exact"/>
        <w:rPr>
          <w:rFonts w:ascii="Times New Roman" w:cs="Times New Roman" w:eastAsia="Times New Roman" w:hAnsi="Times New Roman"/>
          <w:sz w:val="18"/>
          <w:szCs w:val="18"/>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16" w:lineRule="exact"/>
        <w:rPr>
          <w:rFonts w:ascii="Times New Roman" w:cs="Times New Roman" w:eastAsia="Times New Roman" w:hAnsi="Times New Roman"/>
          <w:sz w:val="18"/>
          <w:szCs w:val="18"/>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Potential investors, including any beneficial owner, may obtain a copy of any of the documents summarized herein (subject to certain restrictions because of the confidential nature of the subject matter) or any of our SEC filings incorporated by reference herein without charge by written request directed to 4F, Building C14, No. 218, Xinghu Street, Suzhou Industrial Park Suzhou, Jiangsu Province, 215123, People’s Republic of China.</w:t>
      </w:r>
    </w:p>
    <w:p>
      <w:pPr>
        <w:spacing w:after="0" w:line="335" w:lineRule="exact"/>
        <w:rPr>
          <w:rFonts w:ascii="Times New Roman" w:cs="Times New Roman" w:eastAsia="Times New Roman" w:hAnsi="Times New Roman"/>
          <w:sz w:val="18"/>
          <w:szCs w:val="18"/>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of those documents.</w:t>
      </w:r>
    </w:p>
    <w:p>
      <w:pPr>
        <w:spacing w:after="0" w:line="99" w:lineRule="exact"/>
        <w:rPr>
          <w:rFonts w:ascii="Times New Roman" w:cs="Times New Roman" w:eastAsia="Times New Roman" w:hAnsi="Times New Roman"/>
          <w:sz w:val="18"/>
          <w:szCs w:val="18"/>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purposes of this prospectus supplement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1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US$200,000,000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92710</wp:posOffset>
            </wp:positionV>
            <wp:extent cx="1165860"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1658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ind w:left="508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Adagene Inc. (“Adagene” or “the Company”) may offer from time to time up to a total amount of US$200,000,000, consisting of</w:t>
      </w:r>
    </w:p>
    <w:p>
      <w:pPr>
        <w:spacing w:after="0" w:line="12" w:lineRule="exact"/>
        <w:rPr>
          <w:sz w:val="20"/>
          <w:szCs w:val="20"/>
          <w:color w:val="auto"/>
        </w:rPr>
      </w:pPr>
    </w:p>
    <w:p>
      <w:pPr>
        <w:ind w:left="500" w:right="420" w:hanging="8"/>
        <w:spacing w:after="0" w:line="248" w:lineRule="auto"/>
        <w:tabs>
          <w:tab w:leader="none" w:pos="71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of the Company, par value US$0.0001 per share (“Ordinary Shares”), including ordinary shares represented by American depositary shares, or ADSs, (ii) warrants to purchase ordinary shares or other securities of the Company (“Warrants”),</w:t>
      </w:r>
    </w:p>
    <w:p>
      <w:pPr>
        <w:spacing w:after="0" w:line="1" w:lineRule="exact"/>
        <w:rPr>
          <w:rFonts w:ascii="Times New Roman" w:cs="Times New Roman" w:eastAsia="Times New Roman" w:hAnsi="Times New Roman"/>
          <w:sz w:val="17"/>
          <w:szCs w:val="17"/>
          <w:color w:val="auto"/>
        </w:rPr>
      </w:pPr>
    </w:p>
    <w:p>
      <w:pPr>
        <w:ind w:left="500" w:right="300" w:hanging="8"/>
        <w:spacing w:after="0" w:line="245" w:lineRule="auto"/>
        <w:tabs>
          <w:tab w:leader="none" w:pos="81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(“Units” and, collectively with the Ordinary Shares and Warrants, the “Securities”), or any combination thereof, in one or more offerings under this prospectus. Each ADS represents one and one quarter (1.25) ordinary shares. When we decide to sell Securities, we will provide specific terms of the offered Securities in a prospectus supplement.</w:t>
      </w:r>
    </w:p>
    <w:p>
      <w:pPr>
        <w:spacing w:after="0" w:line="58" w:lineRule="exact"/>
        <w:rPr>
          <w:sz w:val="20"/>
          <w:szCs w:val="20"/>
          <w:color w:val="auto"/>
        </w:rPr>
      </w:pPr>
    </w:p>
    <w:p>
      <w:pPr>
        <w:jc w:val="both"/>
        <w:ind w:left="500" w:right="80" w:firstLine="360"/>
        <w:spacing w:after="0" w:line="268" w:lineRule="auto"/>
        <w:rPr>
          <w:sz w:val="20"/>
          <w:szCs w:val="20"/>
          <w:color w:val="auto"/>
        </w:rPr>
      </w:pPr>
      <w:r>
        <w:rPr>
          <w:rFonts w:ascii="Times New Roman" w:cs="Times New Roman" w:eastAsia="Times New Roman" w:hAnsi="Times New Roman"/>
          <w:sz w:val="17"/>
          <w:szCs w:val="17"/>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263" w:lineRule="exact"/>
        <w:rPr>
          <w:sz w:val="20"/>
          <w:szCs w:val="20"/>
          <w:color w:val="auto"/>
        </w:rPr>
      </w:pPr>
    </w:p>
    <w:p>
      <w:pPr>
        <w:ind w:left="500" w:right="80" w:firstLine="360"/>
        <w:spacing w:after="0" w:line="265" w:lineRule="auto"/>
        <w:rPr>
          <w:sz w:val="20"/>
          <w:szCs w:val="20"/>
          <w:color w:val="auto"/>
        </w:rPr>
      </w:pPr>
      <w:r>
        <w:rPr>
          <w:rFonts w:ascii="Times New Roman" w:cs="Times New Roman" w:eastAsia="Times New Roman" w:hAnsi="Times New Roman"/>
          <w:sz w:val="17"/>
          <w:szCs w:val="17"/>
          <w:color w:val="auto"/>
        </w:rPr>
        <w:t>The Securities covered by this prospectus may be offered and sold from time to time in the same offering or in separate offerings; to or through underwriters, dealers, and agents; or directly to purchasers. The names of any underwriters, dealers, or agents, if any,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74 of this prospectus.</w:t>
      </w:r>
    </w:p>
    <w:p>
      <w:pPr>
        <w:spacing w:after="0" w:line="55" w:lineRule="exact"/>
        <w:rPr>
          <w:sz w:val="20"/>
          <w:szCs w:val="20"/>
          <w:color w:val="auto"/>
        </w:rPr>
      </w:pPr>
    </w:p>
    <w:p>
      <w:pPr>
        <w:ind w:left="500" w:right="40" w:firstLine="360"/>
        <w:spacing w:after="0" w:line="256" w:lineRule="auto"/>
        <w:rPr>
          <w:sz w:val="20"/>
          <w:szCs w:val="20"/>
          <w:color w:val="auto"/>
        </w:rPr>
      </w:pPr>
      <w:r>
        <w:rPr>
          <w:rFonts w:ascii="Times New Roman" w:cs="Times New Roman" w:eastAsia="Times New Roman" w:hAnsi="Times New Roman"/>
          <w:sz w:val="17"/>
          <w:szCs w:val="17"/>
          <w:color w:val="auto"/>
        </w:rPr>
        <w:t>The ADSs are traded on the Nasdaq Global Market, or the Nasdaq, under the symbol “ADAG.” As of May 29, 2025, the last reported sale price for the ADSs was US$1.955 per ADS. Pursuant to General Instruction I.B.5 of Form F-3, in no event will we sell the Securities covered hereby in a public primary offering with a value exceeding more than one-third of the aggregate market value of our voting and non -voting common equity held by non-affiliates in any 12-month period so long as the aggregate market value of our outstanding voting and non-voting common equity held by non-affiliates remains below US$75,000,000. During the 12</w:t>
      </w:r>
    </w:p>
    <w:p>
      <w:pPr>
        <w:spacing w:after="0" w:line="1" w:lineRule="exact"/>
        <w:rPr>
          <w:sz w:val="20"/>
          <w:szCs w:val="20"/>
          <w:color w:val="auto"/>
        </w:rPr>
      </w:pPr>
    </w:p>
    <w:p>
      <w:pPr>
        <w:ind w:left="500" w:right="480"/>
        <w:spacing w:after="0" w:line="275" w:lineRule="auto"/>
        <w:rPr>
          <w:sz w:val="20"/>
          <w:szCs w:val="20"/>
          <w:color w:val="auto"/>
        </w:rPr>
      </w:pPr>
      <w:r>
        <w:rPr>
          <w:rFonts w:ascii="Times New Roman" w:cs="Times New Roman" w:eastAsia="Times New Roman" w:hAnsi="Times New Roman"/>
          <w:sz w:val="17"/>
          <w:szCs w:val="17"/>
          <w:color w:val="auto"/>
        </w:rPr>
        <w:t>calendar months prior to and including the date of this prospectus, we have not offered or sold any securities pursuant to General Instruction I.B.5 of Form F-3.</w:t>
      </w:r>
    </w:p>
    <w:p>
      <w:pPr>
        <w:spacing w:after="0" w:line="47" w:lineRule="exact"/>
        <w:rPr>
          <w:sz w:val="20"/>
          <w:szCs w:val="20"/>
          <w:color w:val="auto"/>
        </w:rPr>
      </w:pPr>
    </w:p>
    <w:p>
      <w:pPr>
        <w:ind w:left="500" w:right="20" w:firstLine="360"/>
        <w:spacing w:after="0" w:line="256" w:lineRule="auto"/>
        <w:rPr>
          <w:sz w:val="20"/>
          <w:szCs w:val="20"/>
          <w:color w:val="auto"/>
        </w:rPr>
      </w:pPr>
      <w:r>
        <w:rPr>
          <w:rFonts w:ascii="Times New Roman" w:cs="Times New Roman" w:eastAsia="Times New Roman" w:hAnsi="Times New Roman"/>
          <w:sz w:val="17"/>
          <w:szCs w:val="17"/>
          <w:color w:val="auto"/>
        </w:rPr>
        <w:t>Investors in the ADSs are purchasing securities of a Cayman Islands holding company rather than securities of our subsidiaries that have substantive business operations in the United States or China. Adagene Inc. is a Cayman Islands holding company that conducts its operations and operate its business in the U.S. through its U.S. subsidiary, Adagene Incorporated. In addition, Adagene Inc. conducts its operations in China through its PRC subsidiary, Adagene (Suzhou) Limited, or Adagene Suzhou. Such structure involves unique legal and operational risks to investors in the ADSs and Ordinary Shares. In particular, 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the ADSs representing our Ordinary Shares or could significantly limit or completely hinder our ability to offer or continue to offer our Ordinary Shares represented by ADSs to investors and cause the value of such securities to significantly decline or become worthless. As we are a holding company with substantive business operations in China, you should pay special attention to disclosures included in our most recent annual report on Form 20-F incorporated by reference in this prospectus and risk factors included herein.</w:t>
      </w:r>
    </w:p>
    <w:p>
      <w:pPr>
        <w:spacing w:after="0" w:line="279" w:lineRule="exact"/>
        <w:rPr>
          <w:sz w:val="20"/>
          <w:szCs w:val="20"/>
          <w:color w:val="auto"/>
        </w:rPr>
      </w:pPr>
    </w:p>
    <w:p>
      <w:pPr>
        <w:ind w:left="500" w:firstLine="360"/>
        <w:spacing w:after="0" w:line="256" w:lineRule="auto"/>
        <w:rPr>
          <w:sz w:val="20"/>
          <w:szCs w:val="20"/>
          <w:color w:val="auto"/>
        </w:rPr>
      </w:pPr>
      <w:r>
        <w:rPr>
          <w:rFonts w:ascii="Times New Roman" w:cs="Times New Roman" w:eastAsia="Times New Roman" w:hAnsi="Times New Roman"/>
          <w:sz w:val="17"/>
          <w:szCs w:val="17"/>
          <w:color w:val="auto"/>
        </w:rPr>
        <w:t>In addition, our auditor is headquartered in mainland China, a jurisdiction where the Public Company Accounting Oversight Board, or PCAOB, was unable to conduct inspections without the approval of the Chinese authorities. Trading in our ADSs on the Nasdaq or over-the- counter may be prohibited, and as a result, our ADSs may be delisted under the Holding Foreign Companies Accountable Act, or HFCAA, if the PCAOB determines that it has been unable to inspect or investigate completely our auditor located in China for two consecutive years. On December 16, 2021, the PCAOB issued the HFCAA Determination Report to notify the SEC of its determinations, or 2021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do not expect to be identified as a “Commission-Identified Issuer” under the HFCAA in the near future. However, whether the PCAOB will continue to be able to satisfactorily conduct inspections and investigations of PCAOB-registered public accounting firms headquartered in mainland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500" w:right="140"/>
        <w:spacing w:after="0" w:line="246" w:lineRule="auto"/>
        <w:rPr>
          <w:sz w:val="20"/>
          <w:szCs w:val="20"/>
          <w:color w:val="auto"/>
        </w:rPr>
      </w:pPr>
      <w:r>
        <w:rPr>
          <w:rFonts w:ascii="Times New Roman" w:cs="Times New Roman" w:eastAsia="Times New Roman" w:hAnsi="Times New Roman"/>
          <w:sz w:val="17"/>
          <w:szCs w:val="17"/>
          <w:color w:val="auto"/>
        </w:rPr>
        <w:t>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 Identified Issuer” under the HFCAA following the filing of the annual report for the relevant fiscal year, and if we were so identified for two consecutive years, trading in our securities on U.S. markets would be prohibited under the HFCAA.</w:t>
      </w:r>
    </w:p>
    <w:p>
      <w:pPr>
        <w:spacing w:after="0" w:line="262" w:lineRule="exact"/>
        <w:rPr>
          <w:sz w:val="20"/>
          <w:szCs w:val="20"/>
          <w:color w:val="auto"/>
        </w:rPr>
      </w:pPr>
    </w:p>
    <w:p>
      <w:pPr>
        <w:ind w:left="500" w:firstLine="360"/>
        <w:spacing w:after="0" w:line="246" w:lineRule="auto"/>
        <w:rPr>
          <w:sz w:val="20"/>
          <w:szCs w:val="20"/>
          <w:color w:val="auto"/>
        </w:rPr>
      </w:pPr>
      <w:r>
        <w:rPr>
          <w:rFonts w:ascii="Times New Roman" w:cs="Times New Roman" w:eastAsia="Times New Roman" w:hAnsi="Times New Roman"/>
          <w:sz w:val="17"/>
          <w:szCs w:val="17"/>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“Item 3. Key Information — 3.D. Risk Factors — Risks Related to Doing Business in China” in our most recent annual report on Form 20-F incorporated by reference in this prospectus.</w:t>
      </w:r>
    </w:p>
    <w:p>
      <w:pPr>
        <w:spacing w:after="0" w:line="62" w:lineRule="exact"/>
        <w:rPr>
          <w:sz w:val="20"/>
          <w:szCs w:val="20"/>
          <w:color w:val="auto"/>
        </w:rPr>
      </w:pPr>
    </w:p>
    <w:p>
      <w:pPr>
        <w:ind w:left="500" w:firstLine="360"/>
        <w:spacing w:after="0" w:line="254" w:lineRule="auto"/>
        <w:rPr>
          <w:sz w:val="20"/>
          <w:szCs w:val="20"/>
          <w:color w:val="auto"/>
        </w:rPr>
      </w:pPr>
      <w:r>
        <w:rPr>
          <w:rFonts w:ascii="Times New Roman" w:cs="Times New Roman" w:eastAsia="Times New Roman" w:hAnsi="Times New Roman"/>
          <w:sz w:val="17"/>
          <w:szCs w:val="17"/>
          <w:color w:val="auto"/>
        </w:rPr>
        <w:t>As used in this prospectus supplement, “Adagene” refers to Adagene Inc., a Cayman Islands exempted company with limited liability, “Adagene Incorporated” refers to Adagene Incorporated, our U.S. subsidiary, “Adagene Suzhou” refers to Adagene (Suzhou) Limited, a PRC incorporated company with limited liability, “Adagene Hong Kong” refers to Adagene (Hong Kong) Limited, our Hong Kong intermediary holding company, , and “we,” “us,” “our company,” or “our” refers to Adagene Inc. and its subsidiaries.</w:t>
      </w:r>
    </w:p>
    <w:p>
      <w:pPr>
        <w:spacing w:after="0" w:line="63" w:lineRule="exact"/>
        <w:rPr>
          <w:sz w:val="20"/>
          <w:szCs w:val="20"/>
          <w:color w:val="auto"/>
        </w:rPr>
      </w:pPr>
    </w:p>
    <w:p>
      <w:pPr>
        <w:ind w:left="500" w:firstLine="360"/>
        <w:spacing w:after="0" w:line="244" w:lineRule="auto"/>
        <w:rPr>
          <w:sz w:val="20"/>
          <w:szCs w:val="20"/>
          <w:color w:val="auto"/>
        </w:rPr>
      </w:pPr>
      <w:r>
        <w:rPr>
          <w:rFonts w:ascii="Times New Roman" w:cs="Times New Roman" w:eastAsia="Times New Roman" w:hAnsi="Times New Roman"/>
          <w:sz w:val="17"/>
          <w:szCs w:val="17"/>
          <w:color w:val="auto"/>
        </w:rPr>
        <w:t>With a holding company structure, we currently rely principally on equity financing for our cash requirements, including the funds necessary to pay cash considerations for services we may incur. In the future, if we become profitable and generate cash flows from operating activities, we may rely principally on dividends and other distributions on equity from our U.S., PRC and other subsidiaries for our cash requirements, including the funds necessary to pay dividends and other cash distributions to our shareholders or for services of any debt we may incur. If any of our subsidiaries or any newly formed subsidiaries incur debt on their own behalf in the future, the instruments governing their debt may restrict their ability to pay dividends or make other distributions to us. In 2022, 2023 and 2024, Adagene Inc. made payments of US$24.5 million, US$20.5 million and US$16.3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2022, 2023 and 2024.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 In the future, cash proceeds raised from overseas financing activities, including this offering, may be transferred by Adagene Inc., the Cayman Islands holding company, (i) to Adagene Incorporated, our U.S. subsidiary,</w:t>
      </w:r>
    </w:p>
    <w:p>
      <w:pPr>
        <w:spacing w:after="0" w:line="3" w:lineRule="exact"/>
        <w:rPr>
          <w:sz w:val="20"/>
          <w:szCs w:val="20"/>
          <w:color w:val="auto"/>
        </w:rPr>
      </w:pPr>
    </w:p>
    <w:p>
      <w:pPr>
        <w:ind w:left="500" w:right="140" w:hanging="8"/>
        <w:spacing w:after="0" w:line="243" w:lineRule="auto"/>
        <w:tabs>
          <w:tab w:leader="none" w:pos="76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Adagene (Hong Kong) Limited, our Hong Kong subsidiary, to Adagene Suzhou, our PRC subsidiary and (iii) to other subsidiaries, via capital contribution, shareholder loans or consideration for the services rendered, as the case may be. Other than the above disclosed transfer of funds, we did not transfer any type of assets between Adagene Suzhou and other Adagene subsidiaries in 2022, 2023 or 2024. For risks associated with this structure, see “Item 3. Key Information — 3.D. Risk Factors — Risks Related to Doing Business in China — We may rely on dividends and other distributions on equity paid by our PRC subsidiary to fund any cash and financing requirements that we may have, and any limitation on the ability of our PRC subsidiary to make payments to us could have material and adverse effect on our ability to conduct our business” and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in our most recent annual report on Form 20-F incorporated by reference in this prospectus.</w:t>
      </w:r>
    </w:p>
    <w:p>
      <w:pPr>
        <w:spacing w:after="0" w:line="267" w:lineRule="exact"/>
        <w:rPr>
          <w:sz w:val="20"/>
          <w:szCs w:val="20"/>
          <w:color w:val="auto"/>
        </w:rPr>
      </w:pPr>
    </w:p>
    <w:p>
      <w:pPr>
        <w:ind w:left="500" w:right="8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Investing in these Securities involves certain risks. Please carefully consider the “Risk Factors” in Item 3.D of our most recent annual report on Form 20-F incorporated by reference in this prospectus, the “Risk Factors” beginning on page </w:t>
      </w:r>
      <w:r>
        <w:rPr>
          <w:rFonts w:ascii="Times New Roman" w:cs="Times New Roman" w:eastAsia="Times New Roman" w:hAnsi="Times New Roman"/>
          <w:sz w:val="16"/>
          <w:szCs w:val="16"/>
          <w:b w:val="1"/>
          <w:bCs w:val="1"/>
          <w:u w:val="single" w:color="auto"/>
          <w:color w:val="0000EE"/>
        </w:rPr>
        <w:t>14</w:t>
      </w:r>
      <w:r>
        <w:rPr>
          <w:rFonts w:ascii="Times New Roman" w:cs="Times New Roman" w:eastAsia="Times New Roman" w:hAnsi="Times New Roman"/>
          <w:sz w:val="16"/>
          <w:szCs w:val="16"/>
          <w:b w:val="1"/>
          <w:bCs w:val="1"/>
          <w:color w:val="auto"/>
        </w:rPr>
        <w:t xml:space="preserve"> of this prospectus, and in any applicable prospectus supplement, for a discussion of the factors you should consider carefully before deciding to purchase these Securities.</w:t>
      </w:r>
    </w:p>
    <w:p>
      <w:pPr>
        <w:spacing w:after="0" w:line="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This prospectus may not be used to offer or sell any Securities unless accompanied by a prospectus supplement.</w:t>
      </w:r>
    </w:p>
    <w:p>
      <w:pPr>
        <w:spacing w:after="0" w:line="98" w:lineRule="exact"/>
        <w:rPr>
          <w:sz w:val="20"/>
          <w:szCs w:val="20"/>
          <w:color w:val="auto"/>
        </w:rPr>
      </w:pPr>
    </w:p>
    <w:p>
      <w:pPr>
        <w:ind w:left="500" w:right="20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The date of this prospectus is 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 and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 and Memorandum and Articles of Association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Forms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American Depositary Shares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Under this shelf registration process, we may, from time to time, sell up to US$200,000,000 of any combination of the Securities described in this prospectus. This prospectus provides you with a general description of the Securities we may offer. Each time we use this prospectus to offer Securities, we will provide one or more prospectus supplements that will contain specific information about the offering and the terms of those Securities. We may also add, update or change other information contained in this prospectus by means of a prospectus supplement or by incorporating by reference information we file with the SEC. The registration statement on file with the SEC includes exhibits that provide more detail on the matters discussed in this prospectus. If there is any inconsistency between the information in this prospectus and any related prospectus supplement, you should rely on the information in the applicable prospectus supplement.</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and any prospectus supplement with all of the information incorporated by reference in this prospectus, as well as the additional information described under the heading “Where You Can Find More Information” and “Incorporation of Certain Documents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you with information that is different from that contained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33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17"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 Suzhou” refers to Adagene (Suzhou) Limited, our subsidiary in the PRC;</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 Incorporated” refers to Adagene Incorporated, our subsidiary in the U.S.;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one and one quarter (1.25) of our ordinary shares;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binding interface” or “antibody binding sites” refers to the antibody binding surface spots in contact with its recognition antigen;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“conformational diversity” or “dynamic diversity” refers to the existence of more than one conformation or structure due to dynamic fluctuation of the structures for a given protein sequence, independent of any conformational changes caused by external binding;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“epitopes” or “epitope of an antigen” refers to the specific binding spots of an antigen in contact with its antibody binding surface;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Exchange Act of 1934, as amended;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for the purpose of this prospectus/registration statement, refers to the People’s Republic of China, Hong Kong, Macau and Taiwan;</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“multi-specificity” refers to a protein exerting a similar function (such as binding) on distinctly different ligands, perhaps while using different active site residues;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33"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“NEObody(ies)” refers to antibody(ies) designed with dynamic binding sites that adapt kinetically to unique epitopes through novel MOA(s), using our NEObody technology;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“shares” refers to our ordinary shares of par value US$0.0001 per share;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3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“POWERbody(ies)” refers to antibody(ies) that utilize(s) our SAFEbody technology to create new bispecific T-cell engagers, antibody-drug conjugates, or antibody(ies), which is(are) designed to reach beyond the therapeutic potency of traditional monospecific antibody(ies);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25"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“SAFEbody(ies)” refers to antibody(ies) engineered with its(their) binding sites masked, which is(are) designed to be selectively activated in the tumor microenvironment (TME), potentially limiting on-target off-tumor toxicity in normal tissues;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and the European Union;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“species cross-reactivity” refers to reactivity of the same protein that recognizes and binds to similar epitopes of a given class of targets in different species;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Adagene Inc., a Cayman Islands exempted company and its subsidiaries.</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We are a platform-driven, clinical-stage biotechnology company transforming the discovery and development of novel antibody-based cancer immunotherapies. We leverage computational biology to design and develop novel antibodies that address unmet patient needs. Powered by our proprietary Dynamic Precision Library (DPL) platform, which fuels our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technologies, we are developing a highly differentiated pipeline of novel immunotherapies. Our lead candidate is an anti-CTLA -4 SAFEbody, ADG126 (muzastotug), which is currently in phase 1b/2 development, and focused initially on metastatic microsatellite-stable (MSS) colorectal cancer (CRC). We also have a robust pipeline of earlier stage candidates that apply our NEObody and SAFEbody technologies to targets associated with toxicity challenges, including modalities with potent efficacy features, such as Fc-empowered antibodies (e.g., IgG1 isotype and its enhanced version) and bi/multispecific T-cell engagers. Additionally, we have forged strategic collaborations with reputable global partners that leverage our SAFEbody technology in multiple approaches at the vanguard of science.</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aim to push the boundaries of antibody discovery and engineering through the precise design, construction, and selection of antibody product candidates intractable to traditional antibody technology. We have pioneered a dynamic antibody technology interface to harness the conformational diversity of antibodies, which enlarges epitope sampling of a given drug target for differentiated therapeutic antibody development. Additionally, we have proprietary precision masking technology and specialized antibody engineering capabilities which enable us to design therapeutics with unique features.</w:t>
      </w:r>
    </w:p>
    <w:p>
      <w:pPr>
        <w:spacing w:after="0" w:line="11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DPL fuels three antibody technology platforms, which can be used alone or together to create novel, differentiated antibody-based therapeutic candidates:</w:t>
      </w:r>
    </w:p>
    <w:p>
      <w:pPr>
        <w:spacing w:after="0" w:line="40" w:lineRule="exact"/>
        <w:rPr>
          <w:sz w:val="20"/>
          <w:szCs w:val="20"/>
          <w:color w:val="auto"/>
        </w:rPr>
      </w:pPr>
    </w:p>
    <w:p>
      <w:pPr>
        <w:ind w:left="1800" w:right="499" w:hanging="180"/>
        <w:spacing w:after="0" w:line="254"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NEObody technology platform is a fully synthetic phage display and yeast display-based antibody discovery technology, which we believe is differentiated from other synthetic antibody technologies through its innovative designs and precise constructions. NEObody technology enables the generation of antibodies designed with dynamic binding sites that adapt kinetically to unique epitopes, triggering a novel MOA. The species cross-reactive antibodies generated by NEObody technology not only have the potential to reveal new biological functions of the targets, but also facilitate preclinical studies using various immune system intact animal models, resulting in high fidelity translation from preclinical to clinical studies. We refer to antibodies generated by our NEObody technology as NEObodies.</w:t>
      </w:r>
    </w:p>
    <w:p>
      <w:pPr>
        <w:spacing w:after="0" w:line="286"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SAFEbody technology platform is designed to mask an antibody binding interface with a masking motif, which then prevents an antibody from binding to its target in healthy tissues, minimizing on target, off tumor toxicities. The masking motif is designed to activate, or unmask, the antibody to allow binding in the tumor microenvironment, or TME, where certain activation conditions such as a protease is upregulated as compared to healthy tissues, allowing the antibody to bind to its target for tumor killing. Our SAFEbody enabled therapeutic candidates are therefore designed to be activated predominantly in the TME while remaining largely in an inactive state in healthy tissues. Our SAFEbody technology can be applied to mask the binding sites of any antibodies including but not limited to NEObodies. We refer to such masked antibodies as SAFEbodies. Notably, SAFEbody technology can be applied to our NEObodies, such as what we did with ADG116 to potentially achieve an increased therapeutic index with ADG126.</w:t>
      </w:r>
    </w:p>
    <w:p>
      <w:pPr>
        <w:spacing w:after="0" w:line="8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POWERbody technology platform enables the creation of new versions of antibodies, which may be bi/multi-specific T-cell engagers, or TCEs, or Fc-enhanced antibodies, antibody-drug conjugates, or ADCs, or antibodies that are designed to reach beyond the therapeutic potency of traditional monospecific antibodies. Our POWERbody candidates incorporate SAFEbody precision masking technology and are designed to improve antitumor activity while maintaining the enhanced safety profile for potentially safe and durable immunotherapies,</w:t>
      </w:r>
    </w:p>
    <w:p>
      <w:pPr>
        <w:spacing w:after="0" w:line="12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These proprietary technology platforms allow us to engineer and select species cross- reactive antibodies designed to dynamically adapt to unique and evolutionally conserved epitopes. We believe that comprehensive in vivo preclinical evaluations using these species cross-reactive antibodies are the key to assess the efficacy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and safety potential of tailor-made antibody candidates before progressing them into lengthy and costly clinical trials. Our NEObody, SAFEbody and POWERbody technology platforms are all designed to facilitate favorable druggability, manageable CMC attributes, and reduced immunogenicity.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February 2011, Adagene Inc. was incorporated under the laws of the Cayman Islands as our offshore holding company.</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December 2011, we established Adagene (Hong Kong) Limited, or Adagene Hong Kong, a wholly-owned subsidiary incorporated under the laws of Hong Kong, as our intermediary holding company. In February 2012, Adagene Hong Kong incorporated Adagene (Suzhou) Limited, or Adagene Suzhou, in China, through which we commenced our research and development activities in China.</w:t>
      </w:r>
    </w:p>
    <w:p>
      <w:pPr>
        <w:spacing w:after="0" w:line="99"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September 2017, we established a wholly-owned subsidiary in the state of Delaware, the United States, Adagene Incorporated, to conduct our research and development activities in the United States to facilitate the discovery and development of product candidates and expand our global presence, we have further incorporated several subsidiaries overseas, such as Australia, Singapore and Switzerland.</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are a holding company and do not directly conduct any substantive business operations in the PRC. In addition to our R&amp;D activities in the United States, Australia and Singapore, we currently focus our business operations within the PRC through Adagene Suzhou. We (Adagene Inc.), however, hold certain intellectual properties and outsource certain research and development activities related to these intellectual properties to our subsidiaries. See “Item 3 Key Information — D. Risk Factors — Risks Related to Doing Business in the PRC” in our most recent annual report on Form 20-F incorporated by reference in this prospectus.</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February 2021, we completed an initial public offering in which we offered and sold an aggregate of 10,571,375 ordinary shares in the form of ADSs. Upon the initial public offering, all of our then issued and outstanding preferred shares were automatically converted into ordinary shares on a one-for-one basis. On February 9, 2021, the ADSs began trading on the Nasdaq under the symbol “ADAG.”</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including our material subsidiaries directly or indirectly owned by us through equity ownership (our group structure does not include any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106045</wp:posOffset>
            </wp:positionV>
            <wp:extent cx="5006340" cy="2331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0063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Investors are purchasing securities of a Cayman Islands holding company rather than securities of our subsidiaries that have substantive business operations in the United States or China. Adagene Inc. is a Cayman Islands holding company that conducts its operations and operate its business in the U.S. through its U.S. subsidiary, Adagene Incorporated. In addition, Adagene Inc. conducts its operations in China through its PRC subsidiary, Adagene Suzhou. Such structure involves unique risks to investors in the ADSs and Ordinary Shares. You should carefully consider all of the information in this prospectus, including disclosures included in our most recent annual report on Form 20-F incorporated by reference in this prospectus, before making an investment in our ADSs. In particular, as we are a holding company with substantial business operations in China, you should pay special attention to subsections headed “Recent Regulatory Developments,” “Holding Company Structure”, and “Risks Related to Doing Business in the PRC,” including but not limited to risk factor such as “uncertainties with respect to the PRC legal system, including uncertainties regarding the enforcement of laws, and sudden or unexpected changes in policies, laws and regulations in China could adversely affect us.”</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and oversight on cybersecurity and data privacy. Such risks could result in a material change in our operations and/or the value of our ADSs or could significantly limit or completely hinder our ability to offer or continue to offer ADSs and/or other securities to investors and cause the value of such securities to significantly decline or be worthless. The PRC government also has significant oversight and discretion over the conduct of our business and as such may influence our operations at any time, which could result in a material adverse effect on our operations. The PRC government has recently published new policies that significantly affected certain industries, and we cannot rule out the possibility that it will in the future release regulations or policies regarding the industry where we operate, which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These risks could result in a material change in our operations and the value of our ordinary shares or the ADSs, or could significantly limit or completely hinder our ability to offer or continue to offer securities to investors and cause the value of such securities to significantly decline or become worthless. Below please find a summary of the principal risks we face, organized under relevant headings. These risks are discussed more fully in the section titled “Risk Factors.”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the PRC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doing business in China include, but are not limited to, the following:</w:t>
      </w:r>
    </w:p>
    <w:p>
      <w:pPr>
        <w:spacing w:after="0" w:line="104" w:lineRule="exact"/>
        <w:rPr>
          <w:sz w:val="20"/>
          <w:szCs w:val="20"/>
          <w:color w:val="auto"/>
        </w:rPr>
      </w:pPr>
    </w:p>
    <w:p>
      <w:pPr>
        <w:ind w:left="1800" w:right="4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uncertainties regarding the enforcement of laws, and sudden or unexpected changes in policies, laws and regulations in China could adversely affect us;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has significant oversight over the conduct of our business and as such may influence our operations at any time, which may potentially result in a material adverse effect on our operations;</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58"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Prospects and Need for Additional Capital</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our financial prospectus and need for additional capital include, but are not limited to, the following:</w:t>
      </w:r>
    </w:p>
    <w:p>
      <w:pPr>
        <w:spacing w:after="0" w:line="54" w:lineRule="exact"/>
        <w:rPr>
          <w:sz w:val="20"/>
          <w:szCs w:val="20"/>
          <w:color w:val="auto"/>
        </w:rPr>
      </w:pPr>
    </w:p>
    <w:p>
      <w:pPr>
        <w:ind w:left="1800" w:right="4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predict our future performance;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historically and we may continue to incur net losses in the near future;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substantial additional financing to fund our growth and operations, which may not be available on acceptable terms, if at all;</w:t>
      </w:r>
    </w:p>
    <w:p>
      <w:pPr>
        <w:spacing w:after="0" w:line="53" w:lineRule="exact"/>
        <w:rPr>
          <w:rFonts w:ascii="Times New Roman" w:cs="Times New Roman" w:eastAsia="Times New Roman" w:hAnsi="Times New Roman"/>
          <w:sz w:val="18"/>
          <w:szCs w:val="18"/>
          <w:color w:val="auto"/>
        </w:rPr>
      </w:pPr>
    </w:p>
    <w:p>
      <w:pPr>
        <w:ind w:left="1800" w:right="719" w:hanging="180"/>
        <w:spacing w:after="0" w:line="275"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lead to dilution of shareholdings by our existing shareholders and restrict our operations or require us to relinquish rights to our technologies or product candidates; and</w:t>
      </w:r>
    </w:p>
    <w:p>
      <w:pPr>
        <w:spacing w:after="0" w:line="268"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shareholders who have board representation rights and their individual interests may differ from yours.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of Our Product Candidates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clinical development of our product candidates include, but are not limited to, the following:</w:t>
      </w:r>
    </w:p>
    <w:p>
      <w:pPr>
        <w:spacing w:after="0" w:line="54" w:lineRule="exact"/>
        <w:rPr>
          <w:sz w:val="20"/>
          <w:szCs w:val="20"/>
          <w:color w:val="auto"/>
        </w:rPr>
      </w:pPr>
    </w:p>
    <w:p>
      <w:pPr>
        <w:ind w:left="1800" w:right="69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or discover new product candidates, and may allocate our limited resources to pursue a particular product candidate and fail to capitalize on product candidates that may later prove to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proprietary platforms to build a pipeline of product candidates;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or setbacks in our platforms or our other proprietary technologies could negatively affect our business and financial condition;</w:t>
      </w:r>
    </w:p>
    <w:p>
      <w:pPr>
        <w:spacing w:after="0" w:line="4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for which we intend to seek approval as biologics products, may face competition sooner than anticipated;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5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substantially on the success of our product candidates, particularly our lead product candidate, ADG126, which is in phase 1b/2 clinical development, and our ability to advance and identify additional product candidates. Clinical trials of our product candidates may not be successful. If we are unable to successfully identify new product candidates, complete clinical development, obtain regulatory approval and commercialize our product candidates, or experience significant delays in doing so, our business will be materially harmed.</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Obtaining Regulatory Approval of Our Drug Candidates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obtaining regulatory approval of our drug candidates include, but are not limited to, the following:</w:t>
      </w:r>
    </w:p>
    <w:p>
      <w:pPr>
        <w:spacing w:after="0" w:line="54" w:lineRule="exact"/>
        <w:rPr>
          <w:sz w:val="20"/>
          <w:szCs w:val="20"/>
          <w:color w:val="auto"/>
        </w:rPr>
      </w:pPr>
    </w:p>
    <w:p>
      <w:pPr>
        <w:ind w:left="1800" w:right="57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NMPA and other comparable regulatory authorities are lengthy, time consuming and inherently unpredictable, and if we are ultimately unable to obtain regulatory approvals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and may in the future conduct additional clinical trials for our product candidates outside the United States and/or China, and FDA, NMPA and similar foreign regulatory authorities may not accept data from such trials; and</w:t>
      </w:r>
    </w:p>
    <w:p>
      <w:pPr>
        <w:spacing w:after="0" w:line="54"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adverse events, side effects or have other properties that could delay or prevent their regulatory approval, limit the commercial profile of an approved label, or result in significant negative consequences following any regulatory approval.</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our intellectual property include, but are not limited to, the following:</w:t>
      </w:r>
    </w:p>
    <w:p>
      <w:pPr>
        <w:spacing w:after="0" w:line="117" w:lineRule="exact"/>
        <w:rPr>
          <w:sz w:val="20"/>
          <w:szCs w:val="20"/>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technology, and we may not be able to protect our intellectual property rights throughout the world;</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could diminish the value of patents in general, thereby impairing our ability to protect our product candidates;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for our development pipeline through acquisitions and licensing deals;</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 and any unfavorable outcome from such litigation could limit our research and development activities and/or our ability to commercialize our product candidates; and</w:t>
      </w:r>
    </w:p>
    <w:p>
      <w:pPr>
        <w:spacing w:after="0" w:line="58"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upon, misappropriating or otherwise violating the intellectual property rights of third parties.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the ADSs include, but are not limited to, the following:</w:t>
      </w:r>
    </w:p>
    <w:p>
      <w:pPr>
        <w:spacing w:after="0" w:line="117" w:lineRule="exact"/>
        <w:rPr>
          <w:sz w:val="20"/>
          <w:szCs w:val="20"/>
          <w:color w:val="auto"/>
        </w:rPr>
      </w:pPr>
    </w:p>
    <w:p>
      <w:pPr>
        <w:ind w:left="1800" w:right="419" w:hanging="180"/>
        <w:spacing w:after="0" w:line="259"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including our ability to raise capital or raise capital on favorable terms and the market price of our ADSs, may be adversely affected by the geopolitical factors arising in connection with Russia’s invasion of Ukraine, including particularly how countries like the United States and China choose to respond to this war. As a result, the value of our ADSs may significantly decline;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 of your ADSs;</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40"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40"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or perceived sale or availability for sale, of substantial amounts of the ADSs could adversely affect their market price;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likely a passive foreign investment company, or PFIC, for 2024, if the value of our goodwill is determined by reference to the average of our quarterly market capitalization, and there is a significant risk that we will be a PFIC for 2025 and possibly subsequent taxable years, in which case U.S. investors will generally be subject to adverse U.S. federal income tax consequences; and</w:t>
      </w:r>
    </w:p>
    <w:p>
      <w:pPr>
        <w:spacing w:after="0" w:line="58"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is treated as owning 10% or more of our stock by vote or value, such person may be subject to adverse U.S. federal income tax consequences.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Regulatory Developments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 Measures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and 12 other relevant PRC government authorities published the amended Cybersecurity Review Measures, or the Cybersecurity Review Measures, which went on February 15, 2022 and supersede and replace the current Cybersecurity Review Measures previously promulgated on April 13, 2020. The Cybersecurity Review Measures provide that the purchase of network products and services by a “critical information infrastructure operator” and the data processing activities of a “network platform operator” that affect or may affect national security shall be subject to the cybersecurity review. Furthermore, if a “network platform operator” that possesses personal information of more than one million users intends to go public in a foreign country, it must apply for a cybersecurity review with the Cybersecurity Review Office. In addition, the relevant PRC governmental authorities may initiate cybersecurity review if they determine certain network products, services, or data processing activities affect or may affect national security.</w:t>
      </w:r>
    </w:p>
    <w:p>
      <w:pPr>
        <w:spacing w:after="0" w:line="12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September 24,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See “Item 4. Information of the Company — 4.B. Business Overview — Regulation — Other PRC Government Regulations — Regulations on Information Security and Data Protection” in our most recent annual report on Form 20-F incorporated by reference in this prospectus for detailed discussion. As the Regulation on Network Data Security Management is relatively new, the specific implementation of it still remains uncertainties.</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As advised by our PRC legal counsel, Jingtian &amp; Gongcheng, given the nature of our business, since we do not possess or process personal information of more than one million users/individuals, and we do not believe we are a “critical information infrastructure operator,” “network platform operator” or a data processor whose purchase of network products and services or data processing activities affect or may affect national security, the listing of our ADSs on the Nasdaq and future potential offering of our ADSs will not be subject to the cybersecurity review process under the Cybersecurity Review Measures, although we cannot guarantee that the relevant PRC regulatory authority will agree with our interpretation. Currently, the Cybersecurity Review Measures and the Regulation on Network Data Security Management have not materially affected our business and operations, but in anticipation of the strengthened implementation of cybersecurity laws and regulations and the continued expansion of our business, we face potential risks if we are deemed as a critical information infrastructure operator, a network platform operator or data processing operator under the PRC cybersecurity laws and regulations. In such case, we must fulfill certain obligations as required under the PRC cybersecurity laws and regulations, including, among others, storing personal information and other important data collected and produced within the PRC territory as we advance our drug discovery pipelines as part of our future operations in China, and we may be subject to lengthy cybersecurity review, annual data security assessment and other enhanced regulatory requirements when purchasing network products and services or conducting other data processing activities. We may face challenges in addressing such enhanced regulatory requirements and be required to make necessary changes to our internal policies and practices in data privacy and cybersecurity matters. As advised by our PRC legal counsel, Jingtian &amp; Gongcheng, as of the date of this prospectus, no detailed rules or implementation of the Cybersecurity Review Measures or the Regulation on Network Data Security Management have been issued by the PRC governmental authorities, and the PRC governmental authorities have broad discretion in the interpretation and enforcement of these laws and regulations. It also remains uncertain whether the future regulatory changes will impose additional restrictions on companies like us. We cannot predict the impact of the Cybersecurity Review Measures and/or the Regulation on Network Data Security Management, if any, at this stage, and we will closely monitor and assess any development in the rule-making process. If the future enacted laws and regulations, including the enacted version of the data security regulations mandate clearance of cybersecurity review and other specific actions to be completed by companies like us before we are able to complete this offering, we will face uncertainties as to whether such</w:t>
      </w: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clearance and/or other specific actions can be timely obtained or completed, or at all. If we are not able to</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comply with the cybersecurity and data privacy requirements in a timely manner, or at all, we may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subject to government enforcement actions and investigations, fines, penalties, or suspension of our</w:t>
      </w:r>
    </w:p>
    <w:p>
      <w:pPr>
        <w:spacing w:after="0" w:line="1" w:lineRule="exact"/>
        <w:rPr>
          <w:sz w:val="20"/>
          <w:szCs w:val="20"/>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operations, among other sanctions, which could materially and adversely affect our business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results of operations. Any failure to complete the required cybersecurity review may result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administrative penalties, including fines, a shut-down of our business, revocation of requisite licenses, 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reputational damage or legal proceedings or actions against us, which may have material adverse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effects on our business, financial condition and results of operations. As of the date of this prospectus, we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have not been involved in any investigation on cybersecurity review made by the CAC on such basis,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not received any inquiry, notice, warning, or sanction in such respect, and we have not been subject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any material fines or other material penalties due to non-compliance with cybersecurity or data privacy</w:t>
      </w:r>
    </w:p>
    <w:p>
      <w:pPr>
        <w:ind w:left="1260"/>
        <w:spacing w:after="0" w:line="234" w:lineRule="auto"/>
        <w:rPr>
          <w:sz w:val="20"/>
          <w:szCs w:val="20"/>
          <w:color w:val="auto"/>
        </w:rPr>
      </w:pPr>
      <w:r>
        <w:rPr>
          <w:rFonts w:ascii="Times New Roman" w:cs="Times New Roman" w:eastAsia="Times New Roman" w:hAnsi="Times New Roman"/>
          <w:sz w:val="18"/>
          <w:szCs w:val="18"/>
          <w:color w:val="auto"/>
        </w:rPr>
        <w:t>laws or regulations. Our PRC legal counsel does not expect that, as of the date of this prospectus, we 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required to file an application for the cybersecurity review by CAC in connection with our previous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 of securities to foreign investors or maintaining our listing status on Nasdaq. We have been making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continuous efforts to comply with the relevant cybersecurity and data protection laws and regulations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PRC, and will endeavor to comply with any updated applicable laws, regulations or guidelines as issued by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relevant regulatory authority in the PRC. See “Item 3 Key Information — 3.D.Risk Factors — Risks</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Related to Doing Business in the PRC — Failure to comply with existing or future laws and regulations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to privacy or data security could lead to government enforcement actions, which could include civil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criminal fines or penalties, investigation or sanction by regulatory authorities, private litigation, other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liabilities, and/or adverse publicity” in our most recent annual report on Form 20-F incorporated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reference in this prospectus.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Potential CSRC Approval Required for the Offering and Listing of Our ADSs</w:t>
      </w:r>
    </w:p>
    <w:p>
      <w:pPr>
        <w:spacing w:after="0" w:line="14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On February 17, 2023, the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9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Trial Measures provide that an overseas listing or offering securities (which, for the purposes of the Trial Measures, are defined thereunder as equity shares, depository receipts, corporate bonds convertible to equity shares, and other equity securities that are offered and listed overseas, either directly or indirectly, by PRC domestic companies) is explicitly prohibited under any of the following circumstances: (i) such securities offering and listing is explicitly prohibited by provisions in laws, administrative regulations and relevant state rules of the PRC; (ii) the intended securities offering and listing may endanger national security as reviewed and determined by competent authorities under the State Council in accordance with law; (iii) the domestic company, its controlling shareholder(s) or the actual controller have committed relevant crimes such as corruption, bribery, embezzlement, misappropriation of property or undermining the order of the socialist market economy during the latest three years; (iv) the domestic company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347"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 filing-based regulatory regime is adopted to regulate both direct and indirect overseas securities offering and listing by the domestic companies under the Trial Measures. Direct overseas offering and listing by domestic companies refers to such overseas offering and listing by a joint-stock company incorporated domestically, while the indirect overseas offering and listing by domestic companies refers to the offering and listing by a company in the name of an overseas incorporated entity which major business operations are located domestically and such offering and listing is based on the underlying equity, assets, earnings or other similar rights of a domestic company.</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Trial Measures stipulate that an overseas listing will be determined as “indirect” if the issuer meets both of the following conditions: (1) 50% or more of any of the issuer’s operating revenue, total profit, total assets or net assets as documented in its audited consolidated financial statements for the most recent accounting year are accounted for by PRC domestic companies (“Condition I”), and (2) the main parts 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issuer’s business activities are conducted in the PRC, or its main places of business are located in the PRC, or the senior managers in charge of its business operations and management are mostly Chinese citizens or domiciled in the PRC (“Condition II”); whether Chinese citizens from Taiwan, Hong Kong, and Macau are included in the foregoing specification is not specified. The determination as to whether or not an overseas offering and listing by PRC domestic companies is indirect shall be made on a “substance over form” basis; the Listing Guidelines further stipulate that if an issuer not satisfying Condition I submits an application for issuance and listing in overseas markets in accordance with relevant non-PRC issuance regulations requiring such issuer to disclose risk factors mainly related to the PRC, the securities firm(s) and the issuer’s PRC counsel should follow the principle of “substance over form” in order to identify and argue whether the issuer should complete a filing under the Trial Measures.</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Subsequent securities offerings of an issuer in (i) the same overseas market where it has previously offered and listed securities, and (ii) an overseas market other than one where the issuer has previously offered and listed securities shall be filed with the CSRC within three working days after offerings are completed. Additionally, the Trial Measures stipulate that after an issuer has offered and listed securities in an overseas market, the issuer shall submit a report to the CSRC within three working days after the occurrence and public disclosure of (i) a change of control thereof, (ii) investigations of or sanctions imposed on the issuer by overseas securities regulators or relevant competent authorities, (iii) changes of listing status or transfers of listing segment, and (iv) a voluntary or mandatory delisting.</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CSRC Filing Notice states that, beginning from March 31, 2023, PRC domestic enterprises which have already issued and listed securities overseas and fall within the scope of filing under the Trial</w:t>
      </w:r>
    </w:p>
    <w:p>
      <w:pPr>
        <w:spacing w:after="0" w:line="1"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Measures shall be considered “existing enterprises”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Licenses and Approvals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PRC subsidiary’s operations in China are covered by permissions requirements from the State Administration for Market Regulation, or the SAMR, and the National Medical Products Administration, or the NMPA. Our PRC subsidiary has obtained all material licenses and approvals required for our operations in China. We believe, to the best of our knowledge, as of the date of this prospectus, our PRC subsidiary’s operations in China are not subject to the approvals or filing requirements from the CSRC or cyber security review process from the CAC. However, in connection with the potential offering of securities under this registration statement on Form F-3, filings or permissions from the CSRC may be required. See detailed discussions “Our Company — PRC Regulatory Developments.” If we or our PRC subsidiary(i) do not receive or maintain such permissions or approvals, (ii) inadvertently conclude that such permissions or approvals are not required or (iii) applicable laws, regulations, or interpretations change and we are required to obtain such permissions or approvals in the future, we may be subject to government enforcement actions, investigations, penalties, sanctions and fines imposed by the CSRC, the CAC and relevant departments of the State Council. In severe circumstances, the business of our PRC subsidiary may be ordered to suspend and its business qualifications and licenses may be revoked. For details of our material licenses and approvals, see “Item 4. Information of the Company — 4.B. Business Overview — Material Licenses and Approvals.” For risks relating to licenses and approvals required for our operations in China, see “Item 3. Key Information — 3.D. Risk Factors — Risks Related to Doing Business in the PRC,” “— Risks Related to Clinical Development of Our Product Candidates,” and “— Risks Related to Obtaining Regulatory Approval of Our Drug Candidates.” in our most recent annual report on Form 20-F incorporated by reference in this prospectus.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discussed in this section. See also “Item 8. — Financial Information — 8.A. Consolidated Statements and Other Financial Information — Dividend Policy” in our most recent annual report on Form 20-F incorporated by reference in this prospectus. Under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relevant PRC laws and regulations, we are permitted to remit funds to Adagene Suzhou through loans, capital contributions or as payment of considerations for the services rendered. In 2022, 2023 and 2024, Adagene Inc. made payments of US$24.5 million, US$20.5 million and US $16.3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2022, 2023 and 2024. In addition,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w:t>
      </w:r>
    </w:p>
    <w:p>
      <w:pPr>
        <w:spacing w:after="0" w:line="11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Other than the above disclosed transfer of funds, we did not transfer any type of assets between Adagene Suzhou and other Adagene subsidiaries in 2022, 2023 and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Adagene Inc. is a holding company with no material operations of its own. Adagene Inc. holds certain intellectual properties and outsources certain research and development activities related to these intellectual properties to its subsidiaries. We conduct our operations primarily through our subsidiaries.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addition, our subsidiary in China is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our subsidiary that is foreign investment enterprise in the PRC has to make appropriation from its after-tax profit, as determined under PRC GAAP, to reserve funds including</w:t>
      </w:r>
    </w:p>
    <w:p>
      <w:pPr>
        <w:spacing w:after="0" w:line="3" w:lineRule="exact"/>
        <w:rPr>
          <w:sz w:val="20"/>
          <w:szCs w:val="20"/>
          <w:color w:val="auto"/>
        </w:rPr>
      </w:pPr>
    </w:p>
    <w:p>
      <w:pPr>
        <w:ind w:left="1260" w:right="819"/>
        <w:spacing w:after="0"/>
        <w:tabs>
          <w:tab w:leader="none" w:pos="1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2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fund-raising activities to our PRC subsidiary through loans or capital contributions, subject to the satisfaction of the applicable government registration and approval requirements. See “Risk Factors — Risks Related to Doing Business in the PRC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As a result, there is uncertainty with respect to our ability to provide prompt financial support to our PRC subsidiary when needed.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Adagene was incorporated in the Cayman Islands in February 2011. We conduct our operations in China primarily through our subsidiary in China, Adagene Suzhou, which was incorporated in</w:t>
      </w:r>
    </w:p>
    <w:p>
      <w:pPr>
        <w:spacing w:after="0" w:line="1"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February 2012. In September 2017, we established a wholly-owned subsidiary in the state of Delaware, the United States, Adagene Incorporated, to conduct our research and development activities in the United States to facilitate the discovery and development of product candidates and expand our global presence, we have further incorporated several subsidiaries overseas, such as Australia, Singapore and Switzerland. The ADSs, each representing one and one quarter (1.25) of our ordinary shares, par value US$0.0001 per share, are currently traded on the Nasdaq under the symbol “ADAG”.</w:t>
      </w:r>
    </w:p>
    <w:p>
      <w:pPr>
        <w:spacing w:after="0" w:line="11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principal executive office of our main operations is located at 4F, Building C14, No. 218, Xinghu Street, Suzhou Industrial Park Suzhou, Jiangsu Province, 215123, People’s Republic of China. Our registered office is located at Vistra (Cayman) Limited, P. O. Box 31119 Grand Pavilion, Hibiscus Way, 802 West Bay Road, Grand Cayman, KY1 — 1205 Cayman Islands. Our telephone number is +86-512-8777-3632.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 xml:space="preserve">business address of our San Diego office is 6048 Cornerstone Court West Suite C, San Diego, CA 92121. We have appointed Cogency Global Inc., which is located at 122 East 42nd Street, 18th Floor, New York, NY 10168, as our agent upon whom process may be served in any action brought against us under the securities laws of the United States with an offering of Securities registered by the registration statement of which this prospectus is a part. Our corporate website is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69" w:lineRule="exact"/>
        <w:rPr>
          <w:sz w:val="20"/>
          <w:szCs w:val="20"/>
          <w:color w:val="auto"/>
        </w:rPr>
      </w:pPr>
    </w:p>
    <w:p>
      <w:pPr>
        <w:ind w:left="1800" w:right="43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 Oxley Act”);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jc w:val="both"/>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will remain an emerging growth company until the earliest of (i) the last day of the fiscal year in which we have total annual gross revenues of at least</w:t>
      </w:r>
    </w:p>
    <w:p>
      <w:pPr>
        <w:ind w:left="1260" w:right="499"/>
        <w:spacing w:after="0"/>
        <w:rPr>
          <w:sz w:val="20"/>
          <w:szCs w:val="20"/>
          <w:color w:val="auto"/>
        </w:rPr>
      </w:pPr>
      <w:r>
        <w:rPr>
          <w:rFonts w:ascii="Times New Roman" w:cs="Times New Roman" w:eastAsia="Times New Roman" w:hAnsi="Times New Roman"/>
          <w:sz w:val="18"/>
          <w:szCs w:val="18"/>
          <w:color w:val="auto"/>
        </w:rPr>
        <w:t>US$1.235 billion; (ii) the last day of our fiscal year following the fifth anniversary of the completion of our initial public offering; (iii) the date on which we have issued more than US$1.0 billion in non-convertible debt during the previous three years; or (iv) the date on which we are deemed to be a large accelerated filer under the rules of the SEC, which means the market value of our ordinary shares that are held by non-affiliates equals or exceeds US$700.0 million as of the last business day of our most recently completed second fiscal quarter.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We do not plan to “opt out” of such exemptions afforded to an emerging growth company.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are also considered as a “foreign private issuer.” Accordingly, we report under the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3" w:lineRule="exact"/>
        <w:rPr>
          <w:sz w:val="20"/>
          <w:szCs w:val="20"/>
          <w:color w:val="auto"/>
        </w:rPr>
      </w:pPr>
    </w:p>
    <w:p>
      <w:pPr>
        <w:ind w:left="1800" w:right="5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jc w:val="both"/>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6" w:lineRule="auto"/>
        <w:rPr>
          <w:sz w:val="20"/>
          <w:szCs w:val="20"/>
          <w:color w:val="auto"/>
        </w:rPr>
      </w:pPr>
      <w:r>
        <w:rPr>
          <w:rFonts w:ascii="Times New Roman" w:cs="Times New Roman" w:eastAsia="Times New Roman" w:hAnsi="Times New Roman"/>
          <w:sz w:val="18"/>
          <w:szCs w:val="18"/>
          <w:color w:val="auto"/>
        </w:rPr>
        <w:t>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Investors in the Securities are purchasing securities of a Cayman Islands holding company rather than securities of its subsidiaries that have substantive business operations in China or in the U.S. Adagene is a Cayman Islands holding company that conducts its operations and operates its business in China through its PRC subsidiary, Adagene Suzhou. In addition, Adagene Inc. conducts a substantial portion of its operations in the U.S. through its U.S. subsidiary, Adagene Incorporated. Such structure involves unique risks to investors in the Securities. You should carefully consider all of the information in this prospectus before making an investment in the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you should carefully consider:</w:t>
      </w:r>
    </w:p>
    <w:p>
      <w:pPr>
        <w:spacing w:after="0" w:line="117"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or incorporated by reference into this prospectus;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or incorporated by reference into any prospectus supplement relating to specific offerings of Securities;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risks described in </w:t>
      </w:r>
      <w:hyperlink r:id="rId129">
        <w:r>
          <w:rPr>
            <w:rFonts w:ascii="Times New Roman" w:cs="Times New Roman" w:eastAsia="Times New Roman" w:hAnsi="Times New Roman"/>
            <w:sz w:val="18"/>
            <w:szCs w:val="18"/>
            <w:u w:val="single" w:color="auto"/>
            <w:color w:val="0000EE"/>
          </w:rPr>
          <w:t>our annual report on Form 20-F for our fiscal year ended December 31, 2024,</w:t>
        </w:r>
      </w:hyperlink>
      <w:r>
        <w:rPr>
          <w:rFonts w:ascii="Times New Roman" w:cs="Times New Roman" w:eastAsia="Times New Roman" w:hAnsi="Times New Roman"/>
          <w:sz w:val="18"/>
          <w:szCs w:val="18"/>
          <w:color w:val="auto"/>
        </w:rPr>
        <w:t xml:space="preserve"> on file with the SEC, which is incorporated by reference into this prospectus; and any updates to those risk factors in our reports on Form 6-K incorporated by reference in this prospectus; and</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other information that may be contained in, or incorporated by reference from, other filings we make with the SEC, including in any prospectus supplement relating to specific offerings of Securities.</w:t>
      </w:r>
    </w:p>
    <w:p>
      <w:pPr>
        <w:spacing w:after="0" w:line="10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discussion of risks contained in or incorporated by reference into this prospectus or into any prospectus supplement comprises material risks of which we are aware. You should pay special attention to subsections headed “Recent Regulatory Developments,” “Holding Company Structure,” and “Risks Related to Doing Business in the PRC.” Our actual results could differ materially and adversely from those anticipated in this prospectus. If any of the events or developments described actually occurs, our business, financial condition or results of operations would likely suffer, and you may lose all or part of your investment.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Please see “Where You Can Find More Information” and “Incorporation of Certain Documents by Reference” for information on where you can find the documents we have filed with or furnished to the SEC and which are incorporated into this prospectus by reference.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25"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9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operations in China are governed by the PRC laws and regulations. The PRC legal system is a civil law system based on written statutes. Unlike the common law system, prior court decisions under the civil law system may be cited for reference but have limited precedential value. In addition, any new PRC laws or changes in PRC laws and regulations related to, among other things, foreign investment and manufacturing in China could have a material adverse effect on our business and our ability to operate our business in China.</w:t>
      </w:r>
    </w:p>
    <w:p>
      <w:pPr>
        <w:spacing w:after="0" w:line="33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in practice. These uncertainties may impede our ability to enforce contracts in China and could materially and adversely affect our business and results of operations.</w:t>
      </w:r>
    </w:p>
    <w:p>
      <w:pPr>
        <w:spacing w:after="0" w:line="10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As a result, we may not be aware of our violation of any of these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policies and rules until sometime after the violation. Such unpredictability towards our contractual, property and procedural rights could adversely affect our business, and impede our ability to continue our operations and proceed with our future business plans.</w:t>
      </w:r>
    </w:p>
    <w:p>
      <w:pPr>
        <w:spacing w:after="0" w:line="165" w:lineRule="exact"/>
        <w:rPr>
          <w:sz w:val="20"/>
          <w:szCs w:val="20"/>
          <w:color w:val="auto"/>
        </w:rPr>
      </w:pPr>
    </w:p>
    <w:p>
      <w:pPr>
        <w:ind w:left="1260" w:right="10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PRC government has significant oversight over the conduct of our business and as such may influence our operations at any time, which may potentially result in a material adverse effect on our operations.</w:t>
      </w:r>
    </w:p>
    <w:p>
      <w:pPr>
        <w:spacing w:after="0" w:line="55"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w:t>
      </w:r>
    </w:p>
    <w:p>
      <w:pPr>
        <w:spacing w:after="0" w:line="32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399" w:lineRule="exact"/>
        <w:rPr>
          <w:sz w:val="20"/>
          <w:szCs w:val="20"/>
          <w:color w:val="auto"/>
        </w:rPr>
      </w:pPr>
    </w:p>
    <w:p>
      <w:pPr>
        <w:jc w:val="both"/>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0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mainland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00" w:lineRule="exact"/>
        <w:rPr>
          <w:sz w:val="20"/>
          <w:szCs w:val="20"/>
          <w:color w:val="auto"/>
        </w:rPr>
      </w:pPr>
    </w:p>
    <w:p>
      <w:pPr>
        <w:spacing w:after="0" w:line="204" w:lineRule="exact"/>
        <w:rPr>
          <w:sz w:val="20"/>
          <w:szCs w:val="20"/>
          <w:color w:val="auto"/>
        </w:rPr>
      </w:pPr>
    </w:p>
    <w:p>
      <w:pPr>
        <w:jc w:val="both"/>
        <w:ind w:left="1260" w:right="7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8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HFCAA and the Consolidated Appropriations Act, 2023,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Accordingly, until such time as the PCAOB issues any new determination, we are not at risk of having our securities subject to a trading prohibition under the HFCAA.</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 -Identified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389" w:lineRule="exact"/>
        <w:rPr>
          <w:sz w:val="20"/>
          <w:szCs w:val="20"/>
          <w:color w:val="auto"/>
        </w:rPr>
      </w:pPr>
    </w:p>
    <w:p>
      <w:pPr>
        <w:jc w:val="both"/>
        <w:ind w:left="1260" w:right="7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June 22, 2021, the U.S. Senate passed a bill, also known as the Accelerating Holding Foreign Companies Accountable Act, to amend Section 104(i) of the Sarbanes-Oxley Act of 2002 (15 U.S.C. 7214(i)) to prohibit securities of any registrant from being listed on any of the U.S. securities exchanges or traded over-the-counter if the auditor of the registrant’s financial statements is not subject to PCAOB inspection for two consecutive years, instead of three consecutive years as initially required under the HFCAA, after the law becomes effective. On February 4, 2022, the U.S. House of Representatives passed the America COMPETES Act of 2022, which includes the exact same amendments as the bill passed by the Senate. On December 29, 2022, the Accelerating Holding Foreign Companies Accountable Act was signed into law as part of the recently passed fiscal year 2023 omnibus spending legislation, which requires the SEC to prohibit an issuer’s securities from trading on U.S. markets if the SEC identifies such issuer to be a Commission-Identified Issuer for two consecutive years.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restricted from transferring our scientific data abroad.</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March 17, 2018, the General Office of the PRC State Council promulgated the Measures for the Management of Scientific Data, or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27"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Moreover, the Cyberspace Administration of China, or the CAC, issued the Measures on Security Assessment of the Cross-border Transfer of Personal Information (Draft for Comment) in June 2019,</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pursuant to which, any cross-border transfer of information that may endanger national security, damage public interest, or fail to offer effective protection of personal information security, as assessed by relevant regulatory bodies, will be prohibited. In July 2022, CAC issued the Measures on Security Assessment of the Cross-border Data Transfer, regulating the thresholds for triggering mandatory security assessments not only in the cross- border transfers of personal information, but also in the cross -border transfers of “important data” collected and generated in China under certain circumstance, which were later amended in the Provisions on Promoting and Regulating Cross-border Flow of Data effective in March 2024. The term “important data” means any data, the tampering, damage, leakage, or illegal acquisition or use of which, if it happens, may endanger national security, the operation of the economy, social stability, public health and security, etc. Given that the government body will have full discretion in the assessment, it is unclear if and the extent to which our clinical data will be considered as an endangerment to national or personal information security. In March 2024, CAC issued the Provisions on Promoting and Regulating Cross-border Flow of Data, which mandates that if the company has not received notification from the relevant industrial or regional authorities that it processes important data, or certain types of data have not been publicly declared as important data, the company will be exempted from the obligation to submit a security assessment declaration solely on the factor of important data. In September 2024, the State Council promulgated the Regulation on Network Data Security Management, which strengthens the management measures for network data security by classifying and grading data, and clarifying the security assessment requirements for data outbound transfers. As these regulations are relatively new, there is still some uncertainty about their practical application.</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Cross-border data transfer from other jurisdictions may also be limited if we fail to comply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relevant requirements, such as obtaining authorization from patients regarding the use, transfer</w:t>
      </w:r>
    </w:p>
    <w:p>
      <w:pPr>
        <w:ind w:left="1260"/>
        <w:spacing w:after="0"/>
        <w:rPr>
          <w:sz w:val="20"/>
          <w:szCs w:val="20"/>
          <w:color w:val="auto"/>
        </w:rPr>
      </w:pPr>
      <w:r>
        <w:rPr>
          <w:rFonts w:ascii="Times New Roman" w:cs="Times New Roman" w:eastAsia="Times New Roman" w:hAnsi="Times New Roman"/>
          <w:sz w:val="18"/>
          <w:szCs w:val="18"/>
          <w:color w:val="auto"/>
        </w:rPr>
        <w:t>and retrieval of their personal information or data and adopting measures to ensure the safety of personal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information or data in the transfer. Also, cross-border transfer of personal data by its nature is subject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general data privacy regulations in various jurisdictions, and thus any failure to comply with data privacy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protection may lead to a restriction of transferring our data across different jurisdictions.</w:t>
      </w:r>
    </w:p>
    <w:p>
      <w:pPr>
        <w:spacing w:after="0" w:line="124"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389" w:lineRule="exact"/>
        <w:rPr>
          <w:sz w:val="20"/>
          <w:szCs w:val="20"/>
          <w:color w:val="auto"/>
        </w:rPr>
      </w:pPr>
    </w:p>
    <w:p>
      <w:pPr>
        <w:ind w:left="1260" w:right="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existing or future laws and regulations related to privacy or data security could lead to government enforcement actions, which could include civil or criminal fines or penalties, private litigation, other liabilities, and/or adverse publicity. Compliance or the failure to comply with such laws could increase the costs of our products and services, limit their use or adoption, and otherwise negatively affect our operating results and business.</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personal information and important data worldwide is rapidly evolving and is likely to remain uncertain for the foreseeable future. Regulatory authorities in virtually every jurisdiction in which we operate have implemented and are considering a number of legislative and regulatory proposals concerning data protection.</w:t>
      </w:r>
    </w:p>
    <w:p>
      <w:pPr>
        <w:spacing w:after="0" w:line="32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Regulatory authorities in China have implemented and are considering a number of legislative and regulatory proposals concerning data protection. For example, China’s Cybersecurity Law, which became effective in June 2017, established China’s first national-level data protection for “network operators,” which may include all organizations in China that connect to or provide services over the internet or other information network. The Cybersecurity Law requires network operators to perform certain functions related to cybersecurity protection. In addition, the Cybersecurity Law imposes certain requirements on network operators of critical information infrastructure, or the CIIOs. For example, the CIIOs generally shall, during their operations in the PRC, store the personal information and important data collected and produced within the territory of PRC, and shall perform certain security obligations as required under the Cybersecurity Law, including that the CIIOs shall pass the national security review when purchasing network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product or service which may affect national security. In addition, China’s Data Security Law, which was promulgated by the Standing Committee of PRC National People’s Congress, or the SCNPC, on June 10, 2021 and came into effect on September 1, 2021, outlines the main system framework of data security protection. For example, the Data Security Law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Processors of “important data” are further required to conduct periodic risk assessment and submit assessment report to relevant regulatory authorities. In addition, the Data Security Law provides a national security review procedure for those data activities which may affect national security. Furthermore, Regulations on the Security Protection of Critical Information Infrastructure, which was promulgated by the State Council of PRC on July 30, 2021 and came into effect on September 1, 2021, or the CII Protection Regulations, stipulates the obligations and liabilities of the regulators, society and CIIOs in protecting the security of critical information infrastructure, or the CII. According to the CII Protection Regulations, regulators supervising specific industries shall formulate detailed guidance to recognize the CII in the respective sectors, and CIIOs shall take the responsibility to protect the CII’s security by performing certain prescribed obligations. For example, CIIOs are required to conduct network security test and risk assessment, report the assessment results to relevant regulatory authorities, and timely rectify the issues identified at least once a year.</w:t>
      </w:r>
    </w:p>
    <w:p>
      <w:pPr>
        <w:spacing w:after="0" w:line="33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Opinions on Strictly Cracking Down Illegal Securities Activities in Accordance with the Law,</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which were issued by the General Committee and State Council on July 6, 2021, require the speed-up of the revision of the provisions on strengthening the confidentiality and archives coordination between regulators related to overseas issuance and listing of securities, and improvement to the laws and regulations related to data security, cross-border data flow, and management of confidential information. Numerous regulations, guidelines and other measures have been or are expected to be adopted under the umbrella of, or in addition to the Cybersecurity Law and Data Security Law, including the Cybersecurity Review Measures published by Cyberspace Administration of China, or the CAC, and other 12 relevant PRC government authorities in December 2021, which provides that, among others, if a “network platform operator” that possesses personal information of more than one million users intends to go public in a foreign country, it must apply for a cybersecurity review with the Cybersecurity Review Office, and that the relevant PRC governmental authorities may initiate cybersecurity review if they determine certain network products, services, or data processing activities affect or may affect national security.</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March 2024, CAC issued the Provisions on Promoting and Regulating Cross-border Flow of Data, which provide that unless otherwise stipulated, data processors shall apply for security assessment for cross-border data transfer in any of the following circumstances: (i) outbound transfer of personal information or important data by CIIO Operators; or (ii) outbound transfer of important data by a data processor other than CIIO Operators, or outbound transfer of personal information (other than sensitive personal information) of more than 1million people or sensitive personal information of more than 10,000 people by a data processor other than CIIO Operators since January 1 of the same year.</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September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Also see “Item 4. Information on the Company — 4.B. Business Overview — Regulation — Other PRC Government Regulations — Regulations on Information Security and Data Protection” in our most recent annual report on Form 20-F incorporated in this prospectus by reference.</w:t>
      </w:r>
    </w:p>
    <w:p>
      <w:pPr>
        <w:spacing w:after="0" w:line="32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February 2025, the CAC promulgated the Measures for the Management of Compliance Audits on Personal Information Protection, which will come into effect in May 2025, stipulating that personal information processors handling the personal information of more than 10 million individuals should conduct a compliance audit on personal information protection at least once every two years. A processor of important data shall conduct annual risk assessment of its data processing activities, and submit risk</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assessment reports to the appropriate department at or above the provincial level, which shall promptly notify the cyberspace administration and the public security authority at the same level. Where it is indeed necessary to provide an overseas party with important data collected and generated by a network data processor during its operation within the territory of the PRC, it shall be subject to the security assessment of outbound data transfer organized by the cyberspace administration of the state.</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exact scope of CIIOs and important data under the current laws, regulations and regulatory regime remains unclear, and the authorities may have wide discretion in the interpretation and enforcement of the related laws and regulations. If we are deemed as a CIIO, or as an operator who collects, uses and processes important data according to the Cybersecurity Law, Data Security Law and other relevant laws and regulations, we may need to perform or be subject to certain prescribed obligations, and if we were found to be in violation of these applicable laws and regulations, we may be subject to administrative penalties, including fines and service suspension. We also cannot rule out the possibility that certain of our customers may be deemed as CIIOs, or as operators processing important data, in which case our products or services or data processing activities, if being deemed as related to national security, will need to be submitted for cybersecurity review before we can enter into agreements with such customers, and before the conclusion of such procedure, the customers will not be allowed to use our products or services. If the reviewing authority considers that the use of our services by certain of our customers involves risk of disruption, is vulnerable to external attacks, or may negatively affect, compromise, or weaken the protection of national security, we may not be able to provide our products or services to such customers, which could have a material adverse effect on our results of operations and business prospects.</w:t>
      </w:r>
    </w:p>
    <w:p>
      <w:pPr>
        <w:spacing w:after="0" w:line="345"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have not been involved in any investigations on cybersecurity review initiated by the Cyberspace Administration of China, and we have not received any inquiry, notice, warning, sanctions in such respect or any regulatory objections to our listing status on the Nasdaq. As there are still uncertainties regarding the further enaction of new laws and regulations as well as the revision, interpretation and implementation of those existing laws and regulations, however, we cannot assure you that we will be able to comply with such regulations in all respects, and we may be ordered to rectify, suspend or terminate any actions or services that are deemed illegal or incompliance by the regulatory authorities and become subject to fines and/or other penalties. If we are unable to address such issue in a timely manner or at all, we may be required to suspend or terminate our related businesses or face other penalties, our business, financial condition, results of operations, and prospects could be materially harmed.</w:t>
      </w:r>
    </w:p>
    <w:p>
      <w:pPr>
        <w:spacing w:after="0" w:line="113"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Furthermore, certain PRC regulatory authorities issued the Opinions on Strictly Cracking Down on Illegal Securities Activities in 2021. These opinions call for strengthened regulation over illegal securities activities and supervision of overseas listings by China-based companies and propose to take effective measures. As of the date of this prospectus, no official guidance or related implementation rules have been issued and taken into effect in relation to such opinions and as a result, the interpretation and implementation of these opinions remain unclear at this stage. We cannot assure you that we will not be required to obtain the pre-approval of the CSRC and potentially other regulatory authorities to pursue an offering of securities overseas or to maintain the listing status of our ADSs on the Nasdaq. See also “—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12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addition, certain industry-specific laws and regulations affect the collection and transfer of personal data in China. For example, the PRC State Council promulgated Regulations on the Administration of Human Genetic Resources (effective in May 2024), which require approval from or filings with the health department of the State Council where human genetic resources, or HGR, are involved in any international collaborative project and additional approval for any export or cross-border transfer of the HGR samples or human genetic resource information.</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potentially resulting in confiscation of HGR samples and human genetic resource information and administrative fines or in worst cases, criminal penalties. In addition, the interpretation and application of data and personal information protection laws in China and elsewhere are often uncertain and in flux.</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we receive from our subsidiaries located in the PRC may be taxed at a higher rate, which could materially and adversely affect the amount of dividends, if any, we may pay our shareholders.</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Pursuant to the Double Tax Avoidance Arrangement between Hong Kong and China, or the Double Tax Avoidance Treaty, and the Notice on Certain Issues with Respect to the Enforcement of Dividend Provisions in Tax Treaties, or the Notice on Tax Treaties, issued on February 20, 2009 by the State Administration of Taxation of the PRC, or the SAT, if a Hong Kong resident enterprise owns more than 25% of the equity interest of a PRC company at all times during the twelve-month period immediately prior to obtaining a dividend from such company, the 10% withholding tax on such dividend is reduced to 5%, provided that certain other conditions and requirements under the Double Tax Avoidance Treaty and other applicable PRC laws are satisfied at the discretion of the relevant PRC tax authority. However, based on the Notice on Tax Treaties, if the relevant PRC tax authorities determine, in their discretion, that a company benefits from such reduced income tax rate due to a structure or arrangement that is primarily tax-driven, the PRC tax authorities may adjust the preferential tax treatment. Based on the Notice on Issues concerning Beneficial Owner in Tax Treaties, or Circular 9, issued on February 3, 2018 by the SAT and effective on April 1, 2018, when determining the applicant’s status as a “beneficial owner” for purpose of tax treatments in connection with dividends, interests or royalties in the tax treaties, several factors will be taken into account, and it will be analyzed according to the actual circumstances of the specific cases. If our Hong Kong subsidiary is determined by PRC government authorities as receiving benefits from reduced income tax rates due to a structure or arrangement that is primarily tax-driven, the dividends paid by our PRC subsidiaries to our Hong Kong subsidiary will be taxed at a higher rate, which will have an adverse effect on our financial and operational conditions.</w:t>
      </w:r>
    </w:p>
    <w:p>
      <w:pPr>
        <w:spacing w:after="0" w:line="200" w:lineRule="exact"/>
        <w:rPr>
          <w:sz w:val="20"/>
          <w:szCs w:val="20"/>
          <w:color w:val="auto"/>
        </w:rPr>
      </w:pPr>
    </w:p>
    <w:p>
      <w:pPr>
        <w:spacing w:after="0" w:line="204"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Your investments in our ADSs and/or ordinary shares are investments in equity securities of a Cayman Islands holding company rather than equity securities of our subsidiaries that have substantive business operations in China for instance. As a result, you may experience difficulties in effecting service of legal process, enforcing foreign judgments or bringing actions in China against us or our management based on foreign laws.</w:t>
      </w:r>
    </w:p>
    <w:p>
      <w:pPr>
        <w:spacing w:after="0" w:line="9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Adagene Inc. is a holding company incorporated under the laws of the Cayman Islands with no operations of its own. It conducts a substantial portion of its operations in China primarily through its subsidiary in China, Adagene (Suzhou) Limited. In addition, Adagene Inc. conducts a substantial portion of its operations in the U.S. through its U.S. subsidiary, Adagene Incorporated. As such, investors in the ADSs or ordinary shares are not purchasing equity securities of our subsidiaries that have substantive business operations in China or in the U.S. but instead are purchasing equity securities of a Cayman Islands holding company. In addition, some of our senior executive officers and directors reside within China for a significant portion of the time and some are PRC nationals. As a result, it may be difficult for our shareholders or investors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325"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“Item 3 Key Information — Risk Factors — Risks Related to the ADSs — You may face difficulties in protecting your interests, and your ability to protect your rights through U.S. courts may be</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limited, because we are incorporated under Cayman Islands law.” in our most recent annual report on Form 20-F incorporated in this prospectus by reference.</w:t>
      </w:r>
    </w:p>
    <w:p>
      <w:pPr>
        <w:spacing w:after="0" w:line="144" w:lineRule="exact"/>
        <w:rPr>
          <w:sz w:val="20"/>
          <w:szCs w:val="20"/>
          <w:color w:val="auto"/>
        </w:rPr>
      </w:pPr>
    </w:p>
    <w:p>
      <w:pPr>
        <w:ind w:left="1260" w:right="4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Recent litigation and negative publicity surrounding China-based companies listed in the United States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8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United States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197" w:lineRule="exact"/>
        <w:rPr>
          <w:sz w:val="20"/>
          <w:szCs w:val="20"/>
          <w:color w:val="auto"/>
        </w:rPr>
      </w:pPr>
    </w:p>
    <w:p>
      <w:pPr>
        <w:ind w:left="12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adversely impact our business and operating results.</w:t>
      </w:r>
    </w:p>
    <w:p>
      <w:pPr>
        <w:spacing w:after="0" w:line="9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plan to expand our business internationally in the future, any unfavorable government policies on international trade, such as capital controls or tariffs, may affect the demand for our products and services,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the one between the United States and China. The U.S. government has recently imposed, and has recently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 It remains unclear what additional actions, if any, will be taken by the U.S. or other governments with respect to international trade, tax policy related to international commerce, or other trade matters. The situation is further complicated by the political tensions between the United States and China that escalated during the outbreak of COVID-19 and in the wake of the PRC National People’s Congress’ decision on Hong Kong national security legislation, sanctions imposed by the U.S. Department of Treasury on certain officials of the Hong Kong Special Administrative Region and the central government of the PRC and the executive orders issued by U.S. President in August 2020 that prohibit certain transactions with certain China-based companies and their respective subsidiaries. Rising trade and political tensions could reduce levels of trade, investments, technological exchanges and other economic activities between China and other countries, which would have an adverse effect on global economic conditions, the stability of global financial markets, and international trade policies.</w:t>
      </w:r>
    </w:p>
    <w:p>
      <w:pPr>
        <w:spacing w:after="0" w:line="35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Although the direct impact of the current international trade and political tension, and any escalation of such tension, on the biopharmaceutical companies in China is uncertain, the negative impact on general, economic, political and social conditions may adversely impact our business, financial condition and results of operations.</w:t>
      </w:r>
    </w:p>
    <w:p>
      <w:pPr>
        <w:spacing w:after="0" w:line="176"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9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M&amp;A Rules requires an overseas special purpose vehicle formed for listing purposes through acquisitions of PRC domestic companies and controlled by PRC companies or individuals to obtain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approval of the CSRC prior to the listing and trading of such special purpose vehicle’s securities on an overseas stock exchange. However, the application of the M&amp;A Rules remains unclear. If CSRC approval is required for any of our future offerings of securities overseas or to maintain the listing status of the ADSs, it is uncertain whether it would be possible for us to obtain the approval, and any failure to obtain or delay in obtaining such approval would subject us to sanctions imposed by the CSRC and other PRC government authorities.</w:t>
      </w:r>
    </w:p>
    <w:p>
      <w:pPr>
        <w:spacing w:after="0" w:line="325"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In addition, the General Office of the Central Committee of the Communist Party of China and the General Office of the State Council jointly issued the “Opinions on Severely Cracking Down on Illegal</w:t>
      </w: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Securities Activities According to Law”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 -listed companies and the demand for cybersecurity and data privacy protection. The policies described above and any related implementation rules to be enacted may subject us to additional compliance requirement in the future. As the Opinions only provide general guidance, the interpretation and implementation of the Opinions remain unclear in several respects at this time. Therefore, we cannot assure you that we will remain fully compliant with all new regulatory requirements of the Opinions or any future implementation rules on a timely basis, or at all.</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December 24, 2021, the CSRC issued the Provisions of the State Council on the Administration of Overseas Securities Offering and Listing by Domestic Companies (Draft for Comments) and the Administrative Measures for the Filing of Overseas Securities Offering and Listing by Domestic Companies (Draft for Comments), collectively the Draft Overseas Listing Regulations, for public comment until January 23, 2022. Following issuance of the Draft Overseas Listing Regulations, on February 17, 2023, the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Trial Measures provide that an overseas listing or offering securities (which, for the purposes of the Trial Measures, are defined thereunder as equity shares, depository receipts, corporate bonds convertible to equity shares, and other equity securities that are offered and listed overseas, either directly or indirectly, by PRC domestic companies) is explicitly prohibited under any of the following circumstances: (i) such securities offering and listing is explicitly prohibited by provisions in laws, administrative regulations and relevant state rules of the PRC; (ii) the intended securities offering and listing may endanger national security as reviewed and determined by competent authorities under the State Council in accordance with law; (iii) the domestic company, its controlling shareholder(s) or the actual controller have committed relevant crimes such as corruption, bribery, embezzlement, misappropriation of property or undermining the order of the socialist market economy during the latest three years; (iv) the domestic company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327"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A filing -based regulatory regime is adopted to regulate both direct and indirect overseas securities offering and listing by the domestic companies under the Trial Measures. Direct overseas offering and listing by domestic companies refers to such overseas offering and listing by a joint-stock company incorporated domestically, while the indirect overseas offering and listing by domestic companies refers to the offering and listing by a company in the name of an overseas incorporated entity which major business operations are located domestically and such offering and listing is based on the underlying equity, assets, earnings or other similar rights of a domestic company.</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Trial Measures stipulate that an overseas listing will be determined as “indirect” if the issuer meets both of the following conditions: (1) 50% or more of any of the issuer’s operating revenue, total profit, total assets or net assets as documented in its audited consolidated financial statements for the most recent accounting year are accounted for by PRC domestic companies (“Condition I”), and (2) the main parts of</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issuer’s business activities are conducted in the PRC, or its main places of business are located in the PRC, or the senior managers in charge of its business operations and management are mostly Chinese citizens or domiciled in the PRC (“Condition II”); whether Chinese citizens from Taiwan, Hong Kong, and Macau are included in the foregoing specification is not specified. The determination as to whether or not an overseas offering and listing by PRC domestic companies is indirect shall be made on a “substance over form” basis; the Listing Guidelines further stipulate that if an issuer not satisfying Condition I submits an application for issuance and listing in overseas markets in accordance with relevant non-PRC issuance regulations requiring such issuer to disclose risk factors mainly related to the PRC, the securities firm(s) and the issuer’s PRC counsel should follow the principle of “substance over form” in order to identify and argue whether the issuer should complete a filing under the Trial Measures.</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Subsequent securities offerings of an issuer in (i) the same overseas market where it has previously offered and listed securities, and (ii) an overseas market other than one where the issuer has previously offered and listed securities shall be filed with the CSRC within three working days after offerings are completed. Additionally, the Trial Measures stipulate that after an issuer has offered and listed securities in an overseas market, the issuer shall submit a report to the CSRC within three working days after the occurrence and public disclosure of (i) a change of control thereof, (ii) investigations of or sanctions imposed on the issuer by overseas securities regulators or relevant competent authorities, (iii) changes of listing status or transfers of listing segment, and (iv) a voluntary or mandatory delisting.</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CSRC Filing Notice states that, beginning from March 31, 2023, PRC domestic enterprises which have already issued and listed securities overseas and fall within the scope of filing under the Trial</w:t>
      </w:r>
    </w:p>
    <w:p>
      <w:pPr>
        <w:spacing w:after="0" w:line="1"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Measures shall be considered “existing enterprises”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1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in the event that the issuer does not meet either Condition I or Condition II, the filing requirements under the Trial Measures will not apply. If our relevant indicators meet both Condition I and Condition II, we need to file at the CSRC according to the requirements under the Trial Measures. However, as the Trial Measures are relatively new, there is some uncertainty about the time required for the filing process. As a result, we cannot guarantee whether the filing process will affect our future financing activities. We are deemed as a PRC domestic company that is subject to the CSRC filing, and we are an Existing Listed Enterprise as defined under the CSRC Filing Notice. As such, our future offerings of listed securities or listings outside China by us or voluntary delisting may be subject to CSRC filing requirements in accordance with the Trial Measures. Given that the Trial Measures and Listing Guidelines have been introduced recently, and that there remain substantial uncertainties surrounding the enforcement thereof, we cannot assure you that, if required, we would be able to complete the filings and fully comply with the relevant new rules on a timely basis, if at all.</w:t>
      </w:r>
    </w:p>
    <w:p>
      <w:pPr>
        <w:spacing w:after="0" w:line="186"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met: (i) the primary location of the day-to-day operational management and the places where they perform their duties are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2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See “Item 10 Additional Information — Taxation — Material PRC Income Tax Considerations.” However, the tax resident status of an enterprise is subject to determination by the PRC tax authorities and uncertainties remain with respect to the interpretation of the term “de facto management body.” If the PRC tax authorities determine that we or any of our non-PRC subsidiaries are a PRC resident enterprise for enterprise income tax purposes, we or the subsidiary will be subject to PRC tax at a rate of 25%. In addition, we may be required to withhold taxes from dividends, and non-PRC shareholders (including ADS holders) may be subject to PRC tax on gains realized on the sale or other disposition of ADSs or ordinary shares, if such income is treated as sourced from within the PRC, as described below under “Item 3.D.Risk Factors — Risks Related to the ADS — You may be subject to PRC income tax on dividends from us or any gain realized on the transfer of our ADSs.” in our most recent annual report on Form 20-F incorporated in this prospectus by reference.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PRC income tax on dividends from us or on any gain realized on the transfer of our ADSs.</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Under the Enterprise Income Tax Law of the PRC, or the EIT Law, and its implementation rules, PRC withholding tax at the rate of 10% is generally applicable to dividends from PRC sources paid to investors that are resident enterprises outside of China and that do not have an establishment or place of business in China, or that have an establishment or place of business in China but the relevant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32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Although we have substantial business operations in China, it is unclear whether the dividends we pay with respect to our shares or ADSs, or the gains realized from the transfer of our shares or ADSs, would be treated as income derived from sources within China and as a result be subject to PRC income tax if we were considered a PRC resident enterprise. If PRC income tax is imposed on gains realized through the transfer of our ADSs or on dividends paid to our non-resident investors, the value of your investment in our ADSs may be adversely affected. Furthermore, our shareholders whose jurisdictions of residence have tax treaties or arrangements with China may not qualify for, or able to obtain in practice, the benefits under these tax treaties or arrangements.</w:t>
      </w:r>
    </w:p>
    <w:p>
      <w:pPr>
        <w:spacing w:after="0" w:line="200" w:lineRule="exact"/>
        <w:rPr>
          <w:sz w:val="20"/>
          <w:szCs w:val="20"/>
          <w:color w:val="auto"/>
        </w:rPr>
      </w:pPr>
    </w:p>
    <w:p>
      <w:pPr>
        <w:spacing w:after="0" w:line="201"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in China is highly regulated and such regulations are subject to changes which may affect approval and commercialization of our product candidates.</w:t>
      </w:r>
    </w:p>
    <w:p>
      <w:pPr>
        <w:spacing w:after="0" w:line="7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Part of our research and development operations are in China, which we believe confers clinical, commercial and regulatory advantages. The biopharmaceutical industry in China is subject to comprehensive government regulation and supervision, encompassing the approval, registration, manufacturing, packaging, licensing and marketing of new product candidates. See “Item 4 Information on the Company — Regulation” in our most recent annual report on Form 20-F incorporated in this prospectus by reference for a discussion of the regulatory requirements that are applicable to our current and planned business activities in China. In recent years, the regulatory framework in China regarding the biopharmaceutical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China. PRC authorities have become increasingly vigilant in enforcing laws in the biopharmaceutical industry and any failure by us or our partners to maintain compliance with applicable laws and regulations or obtain and maintain required licenses and permits may result in the suspension or termination of our business activities fines, warnings, administrative or criminal penalties in China. We believe our strategy and approach are aligned with the PRC government’s regulatory policies, but we cannot ensure that our strategy and approach will continue to be aligned.</w:t>
      </w:r>
    </w:p>
    <w:p>
      <w:pPr>
        <w:spacing w:after="0" w:line="176"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Foreign Investment Law and how it may impact the viability of our current corporate structure, corporate governance and business operations.</w:t>
      </w:r>
    </w:p>
    <w:p>
      <w:pPr>
        <w:spacing w:after="0" w:line="10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Foreign Investment Law, which came into effect on January 1, 2020 and replaces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and become the legal foundation for foreign investment in</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the PRC. Meanwhile, the </w:t>
      </w:r>
      <w:r>
        <w:rPr>
          <w:rFonts w:ascii="Times New Roman" w:cs="Times New Roman" w:eastAsia="Times New Roman" w:hAnsi="Times New Roman"/>
          <w:sz w:val="18"/>
          <w:szCs w:val="18"/>
          <w:i w:val="1"/>
          <w:iCs w:val="1"/>
          <w:color w:val="auto"/>
        </w:rPr>
        <w:t>Implementation Regulation of the Foreign Investment Law and the 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of Information on Foreign Investment </w:t>
      </w:r>
      <w:r>
        <w:rPr>
          <w:rFonts w:ascii="Times New Roman" w:cs="Times New Roman" w:eastAsia="Times New Roman" w:hAnsi="Times New Roman"/>
          <w:sz w:val="18"/>
          <w:szCs w:val="18"/>
          <w:color w:val="auto"/>
        </w:rPr>
        <w:t>came into effect as of January 1, 2020, which clarified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elaborated the relevant provisions of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Foreign Investment Law sets out the basic regulatory framework for foreign investments and proposes to implement a system of pre-entry national treatment with a negative list for foreign investments, pursuant to which (i) foreign entities and individuals are prohibited from investing in the areas that are not open to foreign investments, (ii) foreign investments in the restricted industries must satisfy certain requirements under the law, and (iii) foreign investments in business sectors outside of the negative list will be treated equally with domestic investments. The Foreign Investment Law also sets forth necessary mechanisms to facilitate, protect and manage foreign investments and proposes to establish a foreign investment information reporting system, through which foreign investors or foreign-invested enterprises are required to submit initial report, report of changes, report of deregistration and annual report relating to their investments to the Ministry of Commerce, or MOFCOM, or its local branches.</w:t>
      </w:r>
    </w:p>
    <w:p>
      <w:pPr>
        <w:spacing w:after="0" w:line="182"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to make additional social insurance and housing fund contributions.</w:t>
      </w:r>
    </w:p>
    <w:p>
      <w:pPr>
        <w:spacing w:after="0" w:line="7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are required by PRC labor laws and regulations, such as the Social Insurance Law, Administrative Regulations on the Housing Provident Fund and other related rules, to pay various statutory employee benefits, including pensions insurance, medical insurance, work-related injury insurance, unemployment insurance, maternity insurance and housing fund, to designated government agencies for the benefit of our employees. The relevant government agencies may examine whether an employer has made adequate and timely payments of the requisite statutory employee benefits, and employers who fail to make adequate and timely payments may be subject to supplemental contributions, late payment fees, fines compulsory enforcement and/or other penalties. If the relevant PRC authorities determine that we shall make supplemental social insurance and housing fund contributions or that we are subject to fines and legal sanctions in relation to our failure to make social insurance and housing fund contributions in full for our employees, our business, financial condition and results of operations may be adversely affected.</w:t>
      </w:r>
    </w:p>
    <w:p>
      <w:pPr>
        <w:spacing w:after="0" w:line="188" w:lineRule="exact"/>
        <w:rPr>
          <w:sz w:val="20"/>
          <w:szCs w:val="20"/>
          <w:color w:val="auto"/>
        </w:rPr>
      </w:pPr>
    </w:p>
    <w:p>
      <w:pPr>
        <w:ind w:left="1260" w:right="1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lease agreements of our leased properties have not been registered with the relevant PRC government authorities as required by PRC law, which may expose us to potential fines.</w:t>
      </w:r>
    </w:p>
    <w:p>
      <w:pPr>
        <w:spacing w:after="0" w:line="7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PRC law, lease agreements of commodity housing tenancy are required to be registered with the local construction (real estate) departments. Although failure to do so does not in itself invalidate the leases, the parties of the lease agreements may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prospectus supplement, the lease agreements for our leased properties in China have not been registered with the relevant PRC government authorities. As of the date of this prospectus, we are not aware of any regulatory or governmental actions, claims or investigations being</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contemplated or any challenges by third parties to our use of our leased properties that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176" w:lineRule="exact"/>
        <w:rPr>
          <w:sz w:val="20"/>
          <w:szCs w:val="20"/>
          <w:color w:val="auto"/>
        </w:rPr>
      </w:pPr>
    </w:p>
    <w:p>
      <w:pPr>
        <w:ind w:left="12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8"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w:t>
      </w:r>
    </w:p>
    <w:p>
      <w:pPr>
        <w:spacing w:after="0" w:line="200" w:lineRule="exact"/>
        <w:rPr>
          <w:sz w:val="20"/>
          <w:szCs w:val="20"/>
          <w:color w:val="auto"/>
        </w:rPr>
      </w:pPr>
    </w:p>
    <w:p>
      <w:pPr>
        <w:spacing w:after="0" w:line="209"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Pursuant to the Announcement of the State Administration of Taxation on Several Issues concerning Enterprise Income Tax on the Indirect Transfers of Property by Non-Resident Enterprises, issued by the SAT in 2015, where a non-resident enterprise indirectly transfers equities and other property of a Chinese resident enterprise to evade its obligation of paying enterprise income tax by implementing arrangements that are not for bona fide commercial purpose, such indirect transfer shall, in accordance with the provisions of Article 47 of the Enterprise Income Tax Law, be re-identified and recognized as a direct transfer of equities and other property of the Chinese resident enterprise.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the Announcement of the State Administration of Taxation on Several Issues Concerning the Enterprise Income Tax on Indirect Property Transfer by Non-Resident Enterprises, or SAT Bulletin 7. SAT Bulletin 7 supersedes the rules with respect to the Indirect Transfer under SAT Circular 698. SAT Bulletin 7 has introduced a new tax regime that is significantly different from the previous one under SAT Circular 698. SAT Bulletin 7 extends the PRC’s tax jurisdiction to not only Indirect Transfers set forth under SAT Circular 698 but also transactions involving a transfer of other taxable assets through an offshore transfer of a foreign intermediate holding company. In addition, SAT Bulletin 7 provides clearer criteria than SAT Circular 698 for assessment of reasonable commercial purposes and has introduced safe harbors for internal group restructurings and the purchase and sale of equity through a public securities market. SAT Bulletin 7 also brings challenges to both foreign transferor and transferee (or another person who is obligated to pay for the transfer) of taxable assets. Where a non-resident enterprise transfers taxable assets indirectly by disposing of the equity interests of an overseas holding company, which is an Indirect Transfer, the non-resident enterprise, being the transferor, or the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another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Matters Concerning Withholding of Income Tax of Non -resident Enterprises at Source, or SAT Bulletin 37, which, among others, repealed the SAT Circular 698 on December 1, 2017. SAT Bulletin 37 further details and clarifies the tax withholding methods in respect of income of non-resident enterprises under SAT Circular 698. In addition, certain rules stipulated in SAT Bulletin 7 are replaced by SAT Bulletin 37. Where the non-resident enterprise fails to declare the tax payable pursuant to Article 39 of the PRC Enterprise Income Tax Law, the tax authority may order it to pay the tax due within required time limits, and the non-resident enterprise shall declare and pay the tax payable within such time limits specified by the tax authority; however, if the non- resident enterprise voluntarily declares and pays the tax payable before the tax authority orders it to do so within required time limits, it shall be deemed that such enterprise has paid the tax in time.</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a transferor in such transactions, and may be subject to withholding obligations if our company is a transferee in such transactions, under SAT Bulletin 7 and SAT Bulletin 37. For transfer of shares in our company by investors who are non-PRC resident enterprises, our PRC subsidiary may be requested to assist in the filing under SAT Bulletin 7 and SAT Bulletin 37. As a result, we may be required to expend valuable resources to comply with SAT Bulletin 7 and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393" w:lineRule="exact"/>
        <w:rPr>
          <w:sz w:val="20"/>
          <w:szCs w:val="20"/>
          <w:color w:val="auto"/>
        </w:rPr>
      </w:pPr>
    </w:p>
    <w:p>
      <w:pPr>
        <w:ind w:left="1260" w:right="7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preferential tax treatments are revoked, become unavailable or if the calculation of our tax liability is challenged by the PRC tax authorities, we may be required to pay tax, interest and penalties in excess of our tax provisions, and our results of operations could be materially and adversely affected.</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Chinese government has provided various tax incentives to our subsidiaries in China. These incentives include reduced enterprise income tax rates. For example, under the Enterprise Income Tax Law and its implementation rules, the statutory enterprise income tax rate is 25%. However, the income tax of an enterprise that has been determined to be a technologically advanced service enterprise can be reduced to a preferential rate of 15%. Any increase in the enterprise income tax rate applicable to our PRC subsidiary, or any discontinuation or retroactive or future reduction of any of the preferential tax treatments currently enjoyed by our PRC subsidiary, could adversely affect our business, financial condition and results of operations. In addition,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the MOFCOM be notified in advance or its approval be obtained in certain situations, such as any change-of-control transaction in which a foreign investor acquires control of a PRC domestic enterprise of Undertakings, issued by the State Council in 2008 and amended in 2018, were triggered. Moreover, the Anti-Monopoly Law promulgated by the Standing Committee of the PRC National People’s Congress, or NPC, which was last revised in June 2022 and came into effect in August 2022, requires that transactions which are deemed concentrations and involve parties with specified turnover thresholds must be cleared by the State Council’s anti-monopoly law enforcement authority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acquisitions that are complementary to our business and operations. Complying with the requirements of these regulations to complete such transactions could be time- consuming, and any required approval processes, including obtaining approval or clearance from the State Council’s anti-monopoly law enforcement authority, may delay or inhibit our ability to complete such transactions, which could affect our ability to expand our business or maintain our market share.</w:t>
      </w:r>
    </w:p>
    <w:p>
      <w:pPr>
        <w:spacing w:after="0" w:line="173"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0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is applicable to our shareholders who are PRC residents and may be applicable to any offshore acquisitions that we make in the future. 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including, among other things, any major change of a PRC resident shareholder, name or term of operation of the SPVs, or any increase or reduction of the SPVs’ registered capital, share transfer or swap, merger or division.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or its branches. The qualified banks will directly examine the applications and accept registrations under the supervision of SAFE.</w:t>
      </w:r>
    </w:p>
    <w:p>
      <w:pPr>
        <w:spacing w:after="0" w:line="33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Some of our existing shareholders, each of whom owns our ordinary shares, including but not limited to as a result of exercising share options, are PRC residents under SAFE Circular 37. However, we cannot provide any assurance that these PRC residents comply with our request to make or obtain any applicable registrations or change registration or comply with all of the requirements under SAFE Circular 37 or other related rules. Furthermore, we may not be informed of the identities of all the PRC residents holding direct or indirect interest in our company. The failure or inability of our PRC resident shareholders to comply with the registration procedures set forth in these regulations may subject us to fines and legal sanctions, restrict our cross- border investment activities, limit the ability of our wholly foreign-owned subsidiary in China to distribute dividends and the proceeds from any reduction in capital, share transfer or liquidation to us, and we may also be prohibited from injecting additional capital into the subsidiary.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12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Furthermore, the interpretation and implementation of these foreign exchange regulations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5"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materially adversely affected if our shareholders and beneficial owners who are PRC entities fail to comply with the relevant PRC overseas investment regulations.</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On December 26, 2017, the NDRC promulgated the Administrative Measures on Overseas Investments, or NDRC Order No. 11, which took effect as of March 1, 2018. According to NDRC Order No. 11, non-sensitive overseas investment projects are subject to record-filing requirements with the local branch of the NDRC. On September 6, 2014, MOFCOM promulgated the </w:t>
      </w:r>
      <w:r>
        <w:rPr>
          <w:rFonts w:ascii="Times New Roman" w:cs="Times New Roman" w:eastAsia="Times New Roman" w:hAnsi="Times New Roman"/>
          <w:sz w:val="18"/>
          <w:szCs w:val="18"/>
          <w:i w:val="1"/>
          <w:iCs w:val="1"/>
          <w:color w:val="auto"/>
        </w:rPr>
        <w:t>Administrative Measures on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which took effect as of October 6, 2014. According to this regulation, overseas investments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enterprises that involve non-sensitive countries and regions and non-sensitive industries are subject to</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 xml:space="preserve">record-filing requirements with a local MOFCOM branch. According to the </w:t>
      </w:r>
      <w:r>
        <w:rPr>
          <w:rFonts w:ascii="Times New Roman" w:cs="Times New Roman" w:eastAsia="Times New Roman" w:hAnsi="Times New Roman"/>
          <w:sz w:val="18"/>
          <w:szCs w:val="18"/>
          <w:i w:val="1"/>
          <w:iCs w:val="1"/>
          <w:color w:val="auto"/>
        </w:rPr>
        <w:t>Circular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of Foreign Exchange on Issuing the Regulations on Foreign Exchange Administration of the Overseas Direct Investment of Domestic Institutions</w:t>
      </w:r>
      <w:r>
        <w:rPr>
          <w:rFonts w:ascii="Times New Roman" w:cs="Times New Roman" w:eastAsia="Times New Roman" w:hAnsi="Times New Roman"/>
          <w:sz w:val="18"/>
          <w:szCs w:val="18"/>
          <w:color w:val="auto"/>
        </w:rPr>
        <w:t>, which was promulgated by SAFE on July 13, 2009 and</w:t>
      </w: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took effect on August 1, 2009, PRC enterprises must register for overseas direct investment with a local SAFE branch.</w:t>
      </w:r>
    </w:p>
    <w:p>
      <w:pPr>
        <w:spacing w:after="0" w:line="11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may not be fully informed of the identities of all our shareholders or beneficial owners who are PRC entities, and we cannot provide any assurance that all of our shareholders and beneficial owners who are PRC entities has or will comply with our request to complete the overseas direct investment procedures under the aforementioned regulations or other related rules in a timely manner, or at all. If they fail to complete the filings or registrations required by the overseas direct investment regulations, the relevant authorities may order them to suspend or cease the implementation of such investment impose warnings and sanctions and make corrections within a specified time, or limit our ability to distribute dividends and proceeds to our PRC subsidiary, which may adversely affect our business, financial condition and results of operations.</w:t>
      </w:r>
    </w:p>
    <w:p>
      <w:pPr>
        <w:spacing w:after="0" w:line="392"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initial public offering to make loans or additional capital contributions to our PRC subsidiary, which could materially and adversely affect our liquidity and our ability to fund and expand our business.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PRC subsidiary. We also hold certain intellectual properties and outsource certain research and development activities related to these intellectual properties to our subsidiaries. We may in the future make loans or provide guarantee to our PRC subsidiary subject to the approval or registration from governmental authorities and limitation of amount, or we may make additional capital contributions to our wholly foreign-owned subsidiary in China. Any loans to our wholly foreign-owned subsidiary in China, which are treated as foreign-invested enterprises under PRC law, are subject to foreign exchange loan registrations. In addition, a foreign-invested enterprise, or FIE, shall use its capital pursuant to the principle of authenticity and self-use within its business scope. The capital of an FIE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w:t>
      </w:r>
    </w:p>
    <w:p>
      <w:pPr>
        <w:spacing w:after="0" w:line="2" w:lineRule="exact"/>
        <w:rPr>
          <w:sz w:val="20"/>
          <w:szCs w:val="20"/>
          <w:color w:val="auto"/>
        </w:rPr>
      </w:pPr>
    </w:p>
    <w:p>
      <w:pPr>
        <w:jc w:val="both"/>
        <w:ind w:left="1260" w:right="459"/>
        <w:spacing w:after="0" w:line="255" w:lineRule="auto"/>
        <w:tabs>
          <w:tab w:leader="none" w:pos="15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0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subsidiary or with respect to future capital contributions by us to our PRC subsidiary. If we fail to complete such registrations or obtain such approvals, our ability to use the proceeds from our initial public offering and to capitalize or otherwise fund our PRC operations may be negatively affected, which could materially and adversely affect our liquidity and our ability to fund and expand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are a Cayman Islands holding company and we currently rely principally on equity financing for our cash requirements, including the funds necessary to pay cash considerations for services we may incur. In the future, when and after we become profitable and generate cash flows from operating activities, we may rely principally on dividends and other distributions on equity from our PRC and U.S. subsidiaries for our cash requirements, including the funds necessary to pay dividends and other cash distributions to our shareholders for services of any debt we may incur. If our PRC subsidiary incurs debt on its own behalf in the future, the instruments governing the debt may restrict its ability to pay dividends or make other distributions to us. Under PRC laws and regulations, our PRC subsidiary, which is a wholly foreign-owned enterprise, may pay dividends only out of its respective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At its discretion, a wholly foreign-owned enterprise may allocate a portion of its after-tax profits based on PRC accounting standards to an enterprise expansion fund, or a staff welfare and bonus fund.</w:t>
      </w:r>
    </w:p>
    <w:p>
      <w:pPr>
        <w:spacing w:after="0" w:line="34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portion of our revenue was generated by our PRC subsidiary in Renminbi, which is not freely convertible into other currencies. As a result, any restriction on currency exchange may limit the ability of our PRC subsidiary to use its Renminbi revenues to pay dividends to us.</w:t>
      </w:r>
    </w:p>
    <w:p>
      <w:pPr>
        <w:spacing w:after="0" w:line="95"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3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79"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value of your investment.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Since October 1, 2016, Renminbi has joined the International Monetary Fund’s basket of currencies that make up the Special Drawing Right, or SDR,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received from our equity financings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 available to us.</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83"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cash balance effectively and affect the value of your investment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did not receive any of our revenues in Renminbi in cash in the years ended December 31, 2022, 2023 and 2024. Under our current corporate structure, our Cayman Islands holding company primarily relies on proceeds from previous equity financing activities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applicable laws and regulations, as well as certain procedural requirements. Specifically, under the existing exchange restrictions, without prior approval of SAFE, cash generated from the operations of our PRC subsidiary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the cash generated from the operations of our PRC subsidiary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ind w:left="1260" w:right="5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or PFIC, for 2024, if the value of our goodwill is determined by reference to the average of our quarterly market capitalization, and there is a significant risk that we will be a PFIC for 2025 and possibly subsequent taxable years, in which case U.S. investors will generally be subject to adverse U.S. federal income tax consequences.</w:t>
      </w:r>
    </w:p>
    <w:p>
      <w:pPr>
        <w:spacing w:after="0" w:line="99"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under the PFIC rules to the extent attributable to activities that produce active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 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it is our belief that we were likely a PFIC for our 2024 taxable year and certain of our prior taxable years. Due to the volatility of our market capitalization, there is a significant risk that we will also be a PFIC for 2025 and possibly future taxable years. In addition, the extent to which our goodwill and other intangible assets should be characterized as a non-passive asset is not entirely clear. We have not obtained any valuation of our assets (including our goodwill and other intangible assets). U.S. holders of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any of our drug candidates.</w:t>
      </w:r>
    </w:p>
    <w:p>
      <w:pPr>
        <w:spacing w:after="0" w:line="34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our ADSs or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ceased to be a PFIC in a later taxable year, unless certain elections are made. See “Item 10 Additional Information — Taxation — Material U.S. Federal Income Tax Consequences — Passive Foreign Investment Company Rules” in our most recent annual report on Form 20-F incorporated here by reference.</w:t>
      </w:r>
    </w:p>
    <w:p>
      <w:pPr>
        <w:spacing w:after="0" w:line="185" w:lineRule="exact"/>
        <w:rPr>
          <w:sz w:val="20"/>
          <w:szCs w:val="20"/>
          <w:color w:val="auto"/>
        </w:rPr>
      </w:pPr>
    </w:p>
    <w:p>
      <w:pPr>
        <w:ind w:left="12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a U.S. person owns, directly or indirectly, our ADSs or ordinary shares and is treated as owning 10% or more of our stock by vote or value, such person may be subject to adverse U.S. federal income tax consequences.</w:t>
      </w:r>
    </w:p>
    <w:p>
      <w:pPr>
        <w:spacing w:after="0" w:line="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10% or more of our stock (including our ADSs and ordinary shares) by value or voting power, such person generally will be treated as a “United States shareholder” with respect to each “controlled foreign corporation,” or CFC, in our group. A CFC is a non-U.S. corporation more than 50% of the stock (by voting power or value) of which is owned (directly, indirectly or constructively) by “United States shareholders.” We have not determined whether we are a CFC. However, even if we are not a CFC, under certain ownership attribution rules our non-U.S. subsidiaries would be treated as owned by our U.S. subsidiary and thus may be treated as CFCs. A United States shareholder that owns stock of a CFC directly or indirectly may be subject to additional U.S. federal income tax liabilities and reporting requirements. We do not intend to furnish any information that may be necessary for United States shareholders, if any, to comply with the CFC rules. U.S. investors that own our ADSs or ordinary shares directly or indirectly and may be treated for purposes of the CFC rules as owning 10% of our stock by voting power or value should consult their tax advisors regarding the potential application of these rules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620" w:right="479" w:firstLine="360"/>
        <w:spacing w:after="0" w:line="241" w:lineRule="auto"/>
        <w:rPr>
          <w:sz w:val="20"/>
          <w:szCs w:val="20"/>
          <w:color w:val="auto"/>
        </w:rPr>
      </w:pPr>
      <w:r>
        <w:rPr>
          <w:rFonts w:ascii="Times New Roman" w:cs="Times New Roman" w:eastAsia="Times New Roman" w:hAnsi="Times New Roman"/>
          <w:sz w:val="18"/>
          <w:szCs w:val="18"/>
          <w:color w:val="auto"/>
        </w:rPr>
        <w:t>This prospectus contains forward -looking statements that reflect our current expectations and views of future events.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outbreak of a widespread health epidemic on Adagene’s clinical development, commercial and other operations, as well as those risks more fully discussed in the “Risk Factors” section in Adagene’s filings with the SEC. Such known and unknown risks, uncertainties and other factors may cause our actual results, performance or achievements to be materially different from those expressed or implied by the forward-looking statements. In some cases, you can identify these forward-looking statements by terminology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85" w:lineRule="exact"/>
        <w:rPr>
          <w:sz w:val="20"/>
          <w:szCs w:val="20"/>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2160" w:right="83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preclinical studies, clinical trials and our discovery programs;</w:t>
      </w:r>
    </w:p>
    <w:p>
      <w:pPr>
        <w:spacing w:after="0" w:line="53" w:lineRule="exact"/>
        <w:rPr>
          <w:rFonts w:ascii="Times New Roman" w:cs="Times New Roman" w:eastAsia="Times New Roman" w:hAnsi="Times New Roman"/>
          <w:sz w:val="18"/>
          <w:szCs w:val="18"/>
          <w:color w:val="auto"/>
        </w:rPr>
      </w:pPr>
    </w:p>
    <w:p>
      <w:pPr>
        <w:ind w:left="2160" w:right="75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proprietary Dynamic Precision Library platform, or DPL, to design, construct and develop next-generation antibodies;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who suffer from the diseases we are targeting and the number of patients that may enroll in our clinical trials;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commercializing of our product candidates, if approved;</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2160" w:right="131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strategic arrangements and/or collaborations and the potential benefits of such arrangements;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 our ability to obtain additional capital;</w:t>
      </w:r>
    </w:p>
    <w:p>
      <w:pPr>
        <w:spacing w:after="0" w:line="53"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2160" w:right="679" w:hanging="180"/>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retain additional qualified professionals;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11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product candidates;</w:t>
      </w:r>
    </w:p>
    <w:p>
      <w:pPr>
        <w:spacing w:after="0" w:line="53" w:lineRule="exact"/>
        <w:rPr>
          <w:rFonts w:ascii="Times New Roman" w:cs="Times New Roman" w:eastAsia="Times New Roman" w:hAnsi="Times New Roman"/>
          <w:sz w:val="18"/>
          <w:szCs w:val="18"/>
          <w:color w:val="auto"/>
        </w:rPr>
      </w:pPr>
    </w:p>
    <w:p>
      <w:pPr>
        <w:ind w:left="2160" w:right="779" w:hanging="180"/>
        <w:spacing w:after="0" w:line="266"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such as our proprietary DPL, which includes NEObody platform, SAFEbody platform and POWERbody platform, product candidates and discovery programs;</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2160" w:right="10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53"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the outbreak of a widespread health epidemic on our business and operations and on development of our clinical and preclinical programs, and the duration and impact of such widespread health epidemic or any of its variants that may affect, precipitate or exacerbate one or more of any of the risks and uncertainties mentioned in this prospectus;</w:t>
      </w:r>
    </w:p>
    <w:p>
      <w:pPr>
        <w:spacing w:after="0" w:line="7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the markets we have businesses; and</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ind w:left="1620" w:right="479" w:firstLine="360"/>
        <w:spacing w:after="0" w:line="254"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 — D. Risk Factors” in our most recent annual report on Form 20-F incorporated in this prospectus by reference, and other risks outlined in our other filings with the Securities and Exchange Commission, or the SEC. Those risks are not exhaustive. We operate in an evolving environment. New risks emerge from time to time and it is impossible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37" w:lineRule="exact"/>
        <w:rPr>
          <w:sz w:val="20"/>
          <w:szCs w:val="20"/>
          <w:color w:val="auto"/>
        </w:rPr>
      </w:pPr>
    </w:p>
    <w:p>
      <w:pPr>
        <w:ind w:left="162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contained in or incorporated into this prospectus and any applicable prospectus supplement speak only as of the date of hereof or thereof or of such documents incorporated by reference or, if obtained from third-party studies or reports, the date of the corresponding study or report, and are expressly qualified in their entirety by the cautionary statements in this prospectus, any applicable prospectus supplement and the documents incorporated by reference herein and therein. We do not undertake any obligation to update or revise the forward-looking statements except as required under applicable law. You should read this prospectus and the documents that we reference in this prospectus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the net proceeds from the sale of Securities offered by our company will be used to fund research and development activities and for general corporate purposes, which may include additions to working capital, capital expenditures, financing of acquisitions and other business combinations, investments in or extensions of credit to our subsidiaries and the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ind w:left="1620" w:right="499" w:firstLine="36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subsequently furnished to the SEC and specifically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SHARE CAPITAL AND MEMORANDUM AND ARTICLES OF ASSOCIATION</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summary of our share capital and certain provisions of our amended and restated memorandum and articles of association. This summary does not purport to be complete and is qualified in its entirety by the provisions of our amended and restated memorandum and articles of association and applicable provisions of the laws of the Cayman Islands.</w:t>
      </w:r>
    </w:p>
    <w:p>
      <w:pPr>
        <w:spacing w:after="0" w:line="11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See “Where You Can Find More Information” elsewhere in this prospectus for information on where you can obtain copies of our articles of incorporation and our bylaws, which have been filed with and are publicly available from the SEC.</w:t>
      </w:r>
    </w:p>
    <w:p>
      <w:pPr>
        <w:spacing w:after="0" w:line="10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US$80,000 divided into 800,000,000 shares comprising (i) 640,000,000 ordinary shares of a par value of US$0.0001 each, and (ii) 160,000,000 shares of a par value of US$0.0001 each of such class or classes (however designated) as our board of directors may determine in accordance with our amended and restated memorandum and articles of association.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Memorandum and Articles of Association</w:t>
      </w:r>
    </w:p>
    <w:p>
      <w:pPr>
        <w:spacing w:after="0" w:line="158" w:lineRule="exact"/>
        <w:rPr>
          <w:sz w:val="20"/>
          <w:szCs w:val="20"/>
          <w:color w:val="auto"/>
        </w:rPr>
      </w:pPr>
    </w:p>
    <w:p>
      <w:pPr>
        <w:ind w:left="1260" w:right="6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Holders of ordinary shares have the same rights. All of our issued and outstanding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fully paid and non-assessable. Certificates representing the ordinary shares are issued in registered form. We may not issue share to bearer. Our shareholders who are nonresidents of the Cayman Islands may freely hold, transfer and vote their ordinary shares.</w:t>
      </w:r>
    </w:p>
    <w:p>
      <w:pPr>
        <w:spacing w:after="0" w:line="10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subject to our amended and restated memorandum and articles of association and the Companies Act. In addition, our shareholders may, subject to the provisions of our articles of association, by ordinary resolution declare a dividend, but no dividend may exceed the amount recommended by our directors. Our amended and restated memorandum and articles of association provide that dividends may be declared and paid out of our profits, realized or unrealized, or from any reserve set aside from profits which our board of directors determine is no longer needed. Dividends may also be declared and paid out of the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holder of an ordinary share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one vote for each ordinary share registered in his or her name on our register of members. Voting at any meeting of shareholders is by way of a poll unless a show of hands is permitted. A poll may be demanded by the chairman of such meeting or any one shareholder.</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of directors. We, however, will hold an annual shareholders’ meeting during each fiscal year, as required by the Listing Rules of the Nasdaq Global Market.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20% of the votes attaching to the issued and outstanding shares entitled to vote at general meetings, in which case the directors are obliged to call such meeting and to put the resolutions so requisitioned to a vote at such meeting; however, our post-offering memorandum and articles of association do not provide our shareholders with any right to put any proposals before annual general meetings or extraordinary general meetings not called by such</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shareholders. Advance notice of at least seven (7) days is required for the convening of our annual general meeting and other general meetings in accordance with our amended and restated memorandum and articles of association.</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amended and restated memorandum and articles of association.</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amended and restated memorandum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articles of association as set out below, any of our shareholders may transfer all or any of his or her ordinary shares by an instrument of transfer in the usual or common form or any other form approved by our board of directors.</w:t>
      </w:r>
    </w:p>
    <w:p>
      <w:pPr>
        <w:spacing w:after="0" w:line="107"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Our board of directors may also decline to register any transfer of any ordinary share unless:</w:t>
      </w:r>
    </w:p>
    <w:p>
      <w:pPr>
        <w:spacing w:after="0" w:line="54" w:lineRule="exact"/>
        <w:rPr>
          <w:sz w:val="20"/>
          <w:szCs w:val="20"/>
          <w:color w:val="auto"/>
        </w:rPr>
      </w:pPr>
    </w:p>
    <w:p>
      <w:pPr>
        <w:jc w:val="both"/>
        <w:ind w:left="1800" w:right="4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us;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81"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requirement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 as our board may determine.</w:t>
      </w:r>
    </w:p>
    <w:p>
      <w:pPr>
        <w:spacing w:after="0" w:line="106"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 up capital, the assets will be distributed so that the losses are borne by our shareholders in proportion to the par value of the shares held by them. Any distribution of assets or capital to a holder of ordinary shares will be the same in any liquidation event.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w:t>
      </w:r>
    </w:p>
    <w:p>
      <w:pPr>
        <w:spacing w:after="0" w:line="3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w:t>
      </w:r>
    </w:p>
    <w:p>
      <w:pPr>
        <w:spacing w:after="0" w:line="31"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shares are subject to redemption, at our option or at the option of the holders thereof, on such terms and in such manner as may be determined, before the issue of such shares, by our board of directors or by an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ordinary resolution of our shareholders. Our company may also repurchase any of our shares provided that the manner and terms of such purchase have been approved by our board of directors or by an ordinary resolution of our shareholders, or are otherwise authorized by our post-offering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w:t>
      </w:r>
    </w:p>
    <w:p>
      <w:pPr>
        <w:spacing w:after="0" w:line="5" w:lineRule="exact"/>
        <w:rPr>
          <w:sz w:val="20"/>
          <w:szCs w:val="20"/>
          <w:color w:val="auto"/>
        </w:rPr>
      </w:pPr>
    </w:p>
    <w:p>
      <w:pPr>
        <w:ind w:left="1260" w:right="659"/>
        <w:spacing w:after="0" w:line="258" w:lineRule="auto"/>
        <w:tabs>
          <w:tab w:leader="none" w:pos="15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commenced liquidation. In addition, our company may accept the surrender of any fully paid share for no consideration.</w:t>
      </w:r>
    </w:p>
    <w:p>
      <w:pPr>
        <w:spacing w:after="0" w:line="9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shares, the rights attached to any class or series of shares (unless otherwise provided by the terms of issue of the shares of that class or series), whether or not our company is being wound-up, may be varied with the consent in writing of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However, we will provide our shareholders with annual audited financial statements. See “Where You Can Find More Information.”</w:t>
      </w:r>
    </w:p>
    <w:p>
      <w:pPr>
        <w:spacing w:after="0" w:line="103" w:lineRule="exact"/>
        <w:rPr>
          <w:sz w:val="20"/>
          <w:szCs w:val="20"/>
          <w:color w:val="auto"/>
        </w:rPr>
      </w:pPr>
    </w:p>
    <w:p>
      <w:pPr>
        <w:jc w:val="both"/>
        <w:ind w:left="1260" w:right="8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61"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58" w:lineRule="exact"/>
        <w:rPr>
          <w:sz w:val="20"/>
          <w:szCs w:val="20"/>
          <w:color w:val="auto"/>
        </w:rPr>
      </w:pPr>
    </w:p>
    <w:p>
      <w:pPr>
        <w:jc w:val="center"/>
        <w:ind w:left="1780" w:right="6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77"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17" w:lineRule="exact"/>
        <w:rPr>
          <w:sz w:val="20"/>
          <w:szCs w:val="20"/>
          <w:color w:val="auto"/>
        </w:rPr>
      </w:pPr>
    </w:p>
    <w:p>
      <w:pPr>
        <w:ind w:left="1800" w:right="6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or</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0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permitted by law.</w:t>
      </w:r>
    </w:p>
    <w:p>
      <w:pPr>
        <w:spacing w:after="0" w:line="9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3"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26"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17" w:lineRule="exact"/>
        <w:rPr>
          <w:sz w:val="20"/>
          <w:szCs w:val="20"/>
          <w:color w:val="auto"/>
        </w:rPr>
      </w:pPr>
    </w:p>
    <w:p>
      <w:pPr>
        <w:ind w:left="1800" w:right="459" w:hanging="180"/>
        <w:spacing w:after="0" w:line="25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and a statement of the shares held by each member, which shall include: (i) the amount paid or agreed to be considered as paid on the shares of each member, (ii) the number and category of shares held by each member, and (iii) whether each relevant category of shares held by a member carries voting rights under the post-offering memorandum and articles of association, and if so, whether such voting rights are conditional;</w:t>
      </w:r>
    </w:p>
    <w:p>
      <w:pPr>
        <w:spacing w:after="0" w:line="4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1"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4"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(if any),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9"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299"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7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w:t>
      </w:r>
    </w:p>
    <w:p>
      <w:pPr>
        <w:spacing w:after="0" w:line="2" w:lineRule="exact"/>
        <w:rPr>
          <w:sz w:val="20"/>
          <w:szCs w:val="20"/>
          <w:color w:val="auto"/>
        </w:rPr>
      </w:pPr>
    </w:p>
    <w:p>
      <w:pPr>
        <w:ind w:left="1260" w:right="459"/>
        <w:spacing w:after="0" w:line="231" w:lineRule="auto"/>
        <w:rPr>
          <w:sz w:val="20"/>
          <w:szCs w:val="20"/>
          <w:color w:val="auto"/>
        </w:rPr>
      </w:pPr>
      <w:r>
        <w:rPr>
          <w:rFonts w:ascii="Times New Roman" w:cs="Times New Roman" w:eastAsia="Times New Roman" w:hAnsi="Times New Roman"/>
          <w:sz w:val="18"/>
          <w:szCs w:val="18"/>
          <w:color w:val="auto"/>
        </w:rPr>
        <w:t>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07"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Under our post-offering memorandum and articles of association, directors who are in any way, whether directly or indirectly, interested in a contract or proposed contract with our company must declare the nature of their interest at a meeting of the board of directors.</w:t>
      </w:r>
    </w:p>
    <w:p>
      <w:pPr>
        <w:spacing w:after="0" w:line="92" w:lineRule="exact"/>
        <w:rPr>
          <w:sz w:val="20"/>
          <w:szCs w:val="20"/>
          <w:color w:val="auto"/>
        </w:rPr>
      </w:pPr>
    </w:p>
    <w:p>
      <w:pPr>
        <w:ind w:left="1260" w:right="479" w:firstLine="36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The Companies Act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10"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 offering memorandum and articles of association allow our shareholders holding in aggregate not less than twenty percent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1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 offering memorandum and articles of association do not provide for cumulative voting. As a result, our shareholders are not afforded any less protections or rights on this issue than shareholders of a Delaware corporation.</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outstanding shares entitled to vote, unless the certificate of incorporation provides otherwise. Under our post-offering memorandum and articles of association, directors not appointed by Peter Luo, JSR Limited, Wuxi Pharmatech Healthcare Fund I L.P., and General Atlantic Singapore AI Pte. Ltd. (“GA”) may be removed with or without cause, by an ordinary resolution of our shareholders. In March 2025, GA has delivered a written undertaking to irrevocably waive its board appointment right and the director appointed by GA has stepped down from our board.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w:t>
      </w:r>
    </w:p>
    <w:p>
      <w:pPr>
        <w:spacing w:after="0" w:line="9" w:lineRule="exact"/>
        <w:rPr>
          <w:sz w:val="20"/>
          <w:szCs w:val="20"/>
          <w:color w:val="auto"/>
        </w:rPr>
      </w:pPr>
    </w:p>
    <w:p>
      <w:pPr>
        <w:ind w:left="1260" w:right="659"/>
        <w:spacing w:after="0"/>
        <w:tabs>
          <w:tab w:leader="none" w:pos="15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or the Listing Rules of the Nasdaq Global Market from being a director; or (vi) is removed from office pursuant to any other provisions of our post-offering memorandum and articles of association.</w:t>
      </w:r>
    </w:p>
    <w:p>
      <w:pPr>
        <w:spacing w:after="0" w:line="11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3"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1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of a class of shares with the approval of a majority of the outstanding shares of such class, unless the certificate of incorporation provides otherwise. Under Cayman Islands law and our post-offering memorandum and articles of association, if our share capital is divided into more than one class of shares, we may vary the rights attached to any class with the written consent of the holders of not less than a majority of the issued shares of that class or with the sanction of a special resolution passed at a general meeting of the holders of the shares of that class.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securities issuances by Adagene Inc. in the years ended December 31, 2022, 2023 and 2024.</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From April 2024 and up to the date of this prospectus, we offered and sold an aggregate of US$7.5 million ADSs under our ATM program.</w:t>
      </w:r>
    </w:p>
    <w:p>
      <w:pPr>
        <w:spacing w:after="0" w:line="9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our initial public offering in February 2021, all of our then issued and outstanding preferred shares were automatically converted into ordinary shares on a one-for-one basis.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Award Grants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have granted awards to purchase our ordinary shares to certain of our directors, executive officers and employees pursuant to the Second Amended and Restated Share Incentive Plan in December 2019, or the 2019 Plan, and the 2021 Performance Incentive Plan, or the 2021 Plan. As of February 28, 2025, the aggregate number of our ordinary shares underlying our outstanding awards under the 2019 Plan was 1,922,960. As of February 28, 2025, we have granted 8,795,907 shares awards under the 2021 Plan, excluding awards that were forfeited, cancelled or exercised after the relevant grant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will include some or all of the following:</w:t>
      </w:r>
    </w:p>
    <w:p>
      <w:pPr>
        <w:spacing w:after="0" w:line="54"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ordinary shares or other securities purchasable upon exercise of the warrants and procedures by which those numbers may be adjusted;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14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terms of any warrants to be issued and a description of the material provisions of the applicable warrant agreement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warrants, or any combination of such securities. The applicable prospectus supplement will describe:</w:t>
      </w:r>
    </w:p>
    <w:p>
      <w:pPr>
        <w:spacing w:after="0" w:line="68" w:lineRule="exact"/>
        <w:rPr>
          <w:sz w:val="20"/>
          <w:szCs w:val="20"/>
          <w:color w:val="auto"/>
        </w:rPr>
      </w:pPr>
    </w:p>
    <w:p>
      <w:pPr>
        <w:ind w:left="1800" w:right="5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ordinary shares, and/or warrants comprising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issue the registered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11"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Adagene, its affiliates, the trustees, the warrant agents, the unit agents or any other agent of Adagene,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JPMorgan Chase Bank, N.A. (“JPMorgan”),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158"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32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1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1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1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4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1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52" w:lineRule="exact"/>
        <w:rPr>
          <w:sz w:val="20"/>
          <w:szCs w:val="20"/>
          <w:color w:val="auto"/>
        </w:rPr>
      </w:pPr>
    </w:p>
    <w:p>
      <w:pPr>
        <w:ind w:left="1800" w:right="459" w:hanging="180"/>
        <w:spacing w:after="0" w:line="253"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8"/>
          <w:szCs w:val="18"/>
          <w:i w:val="1"/>
          <w:iCs w:val="1"/>
          <w:color w:val="auto"/>
        </w:rPr>
        <w:t>If exchange rates fluctuate during a time when the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cannot convert a foreign currency, you may lose some or all of the value of the distribution.</w:t>
      </w:r>
    </w:p>
    <w:p>
      <w:pPr>
        <w:spacing w:after="0" w:line="79"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17"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94" w:lineRule="exact"/>
        <w:rPr>
          <w:rFonts w:ascii="Times New Roman" w:cs="Times New Roman" w:eastAsia="Times New Roman" w:hAnsi="Times New Roman"/>
          <w:sz w:val="18"/>
          <w:szCs w:val="18"/>
          <w:color w:val="auto"/>
        </w:rPr>
      </w:pPr>
    </w:p>
    <w:p>
      <w:pPr>
        <w:ind w:left="2340" w:right="419" w:hanging="360"/>
        <w:spacing w:after="0" w:line="266" w:lineRule="auto"/>
        <w:tabs>
          <w:tab w:leader="none" w:pos="2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6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06" w:lineRule="exact"/>
        <w:rPr>
          <w:sz w:val="20"/>
          <w:szCs w:val="20"/>
          <w:color w:val="auto"/>
        </w:rPr>
      </w:pPr>
    </w:p>
    <w:p>
      <w:pPr>
        <w:ind w:left="12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7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95"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17" w:lineRule="exact"/>
        <w:rPr>
          <w:sz w:val="20"/>
          <w:szCs w:val="20"/>
          <w:color w:val="auto"/>
        </w:rPr>
      </w:pPr>
    </w:p>
    <w:p>
      <w:pPr>
        <w:ind w:left="1800" w:right="71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w:t>
      </w:r>
    </w:p>
    <w:p>
      <w:pPr>
        <w:spacing w:after="0" w:line="27"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applicable, shall be as near as practicable to any corresponding record dates set by us) for the determination of the registered ADR holders who will be entitled (or obligated, as the case may be):</w:t>
      </w:r>
    </w:p>
    <w:p>
      <w:pPr>
        <w:spacing w:after="0" w:line="72" w:lineRule="exact"/>
        <w:rPr>
          <w:sz w:val="20"/>
          <w:szCs w:val="20"/>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 or</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given in accordance with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32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10"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(A) we have provided the depositary with at least 35 days’ notice of the proposed meeting, (B) the voting notice will be received by all ADR holders and beneficial owners no less than</w:t>
      </w:r>
    </w:p>
    <w:p>
      <w:pPr>
        <w:ind w:left="1260" w:right="419"/>
        <w:spacing w:after="0"/>
        <w:rPr>
          <w:sz w:val="20"/>
          <w:szCs w:val="20"/>
          <w:color w:val="auto"/>
        </w:rPr>
      </w:pPr>
      <w:r>
        <w:rPr>
          <w:rFonts w:ascii="Times New Roman" w:cs="Times New Roman" w:eastAsia="Times New Roman" w:hAnsi="Times New Roman"/>
          <w:sz w:val="18"/>
          <w:szCs w:val="18"/>
          <w:color w:val="auto"/>
        </w:rPr>
        <w:t>10 days prior to the date of the meeting and/or the cut-off date for the solicitation of consents, and (C)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33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33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in accordance with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to grant a discretionary proxy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 accordance with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2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4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1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32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75"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58"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8"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86"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cs="Times New Roman" w:eastAsia="Times New Roman" w:hAnsi="Times New Roman"/>
          <w:sz w:val="18"/>
          <w:szCs w:val="18"/>
          <w:i w:val="1"/>
          <w:iCs w:val="1"/>
          <w:color w:val="auto"/>
        </w:rPr>
        <w:t>The spread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applied does not reflect any gains or losses that may be earned or incurred by the Bank and its affiliates as a result of risk management or other hedging related activity.</w:t>
      </w: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00" w:lineRule="exact"/>
        <w:rPr>
          <w:sz w:val="20"/>
          <w:szCs w:val="20"/>
          <w:color w:val="auto"/>
        </w:rPr>
      </w:pPr>
    </w:p>
    <w:p>
      <w:pPr>
        <w:ind w:left="1260" w:right="67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323"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9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 -entry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us and its and our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 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73"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144"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329" w:lineRule="exact"/>
        <w:rPr>
          <w:sz w:val="20"/>
          <w:szCs w:val="20"/>
          <w:color w:val="auto"/>
        </w:rPr>
      </w:pPr>
    </w:p>
    <w:p>
      <w:pPr>
        <w:ind w:left="1260" w:right="919" w:firstLine="360"/>
        <w:spacing w:after="0" w:line="253"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of 1933 or</w:t>
      </w:r>
    </w:p>
    <w:p>
      <w:pPr>
        <w:ind w:left="1260" w:right="479"/>
        <w:spacing w:after="0"/>
        <w:tabs>
          <w:tab w:leader="none" w:pos="15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ind w:left="1260" w:right="459" w:firstLine="360"/>
        <w:spacing w:after="0" w:line="232"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our</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notice of removal was first provided to the depositary.</w:t>
      </w:r>
    </w:p>
    <w:p>
      <w:pPr>
        <w:spacing w:after="0" w:line="1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the shares are not listed or quoted for trading on a stock exchange or in a securities market as of the date so fixed for termination, then after such date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33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the shares are listed or quoted for trading on a stock exchange or in a securities market as of the date so fixed for termination, then instead of the provisions in the prior paragraph, after the date so fixed for termination, the depositary and its agents will perform no further acts under the deposit agreement or the ADRs, except to receive and hold (or sell) distributions on shares and/or deposited securities and deliver shares and/or deposited securities being withdrawn. As soon as practicable after the date so fixed for termination, the depositary has agreed to use its reasonable efforts to sell the shares and/or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registered ADR holders not theretofore surrendered. After making such sale, the depositary shall be discharged from all obligations in respect of the deposit agreement and the ADRs, except to account for such net proceeds and other cash. After the date so fixed for termination, we shall be discharged from all obligations under the deposit agreement except for our obligations to the depositary and its agents.</w:t>
      </w:r>
    </w:p>
    <w:p>
      <w:pPr>
        <w:spacing w:after="0" w:line="106"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62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90"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61" w:lineRule="exact"/>
        <w:rPr>
          <w:sz w:val="20"/>
          <w:szCs w:val="20"/>
          <w:color w:val="auto"/>
        </w:rPr>
      </w:pPr>
    </w:p>
    <w:p>
      <w:pPr>
        <w:ind w:left="1800" w:right="43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75"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94"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1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72" w:lineRule="exact"/>
        <w:rPr>
          <w:sz w:val="20"/>
          <w:szCs w:val="20"/>
          <w:color w:val="auto"/>
        </w:rPr>
      </w:pPr>
    </w:p>
    <w:p>
      <w:pPr>
        <w:ind w:left="1800" w:right="519" w:hanging="180"/>
        <w:spacing w:after="0" w:line="253"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epidemic, pandemic,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29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exercise or failure to exercise discretion under the deposit agreement or the ADRs including, without limitation, any failure to determine that any distribution or action may be lawful or reasonably practicable;</w:t>
      </w:r>
    </w:p>
    <w:p>
      <w:pPr>
        <w:spacing w:after="0" w:line="61" w:lineRule="exact"/>
        <w:rPr>
          <w:sz w:val="20"/>
          <w:szCs w:val="20"/>
          <w:color w:val="auto"/>
        </w:rPr>
      </w:pPr>
    </w:p>
    <w:p>
      <w:pPr>
        <w:ind w:left="1800" w:right="57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under the deposit agreement and ADRs without gross negligence or willful misconduct;</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75" w:lineRule="exact"/>
        <w:rPr>
          <w:rFonts w:ascii="Times New Roman" w:cs="Times New Roman" w:eastAsia="Times New Roman" w:hAnsi="Times New Roman"/>
          <w:sz w:val="18"/>
          <w:szCs w:val="18"/>
          <w:color w:val="auto"/>
        </w:rPr>
      </w:pPr>
    </w:p>
    <w:p>
      <w:pPr>
        <w:ind w:left="1800" w:right="599" w:hanging="180"/>
        <w:spacing w:after="0" w:line="259"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294"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9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w:t>
      </w:r>
    </w:p>
    <w:p>
      <w:pPr>
        <w:spacing w:after="0" w:line="5" w:lineRule="exact"/>
        <w:rPr>
          <w:sz w:val="20"/>
          <w:szCs w:val="20"/>
          <w:color w:val="auto"/>
        </w:rPr>
      </w:pPr>
    </w:p>
    <w:p>
      <w:pPr>
        <w:ind w:left="1260" w:right="439"/>
        <w:spacing w:after="0" w:line="241" w:lineRule="auto"/>
        <w:tabs>
          <w:tab w:leader="none" w:pos="15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1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Cayman Islands, Hong Kong,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People’s Republic of China, the United States or any other country or jurisdiction or of any governmental or regulatory authority or any securities exchange or market or automated quotation system.</w:t>
      </w:r>
    </w:p>
    <w:p>
      <w:pPr>
        <w:spacing w:after="0" w:line="9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Additionally, none of the depositary, the custodian or us, or any of their or our respective directors, officers, employees, agents or affiliates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the depositary, custodian, us or any of their or our respective directors, officers, employees, agents or affiliates shall incur any liability for any tax or tax consequences that may be incurred by registered ADR holders or beneficial owners on account of their ownership or disposition of ADRs or ADSs.</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(or deemed to have been instructed to grant a discretionary proxy in accordance with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Subject to certain customary exceptions, neither the depositary nor us, nor any of its or our agents shall be liable to the other for any indirect, special, punitive or consequential damages (excluding reasonable fees and expenses of counsel) or lost profits, in each case of any form incurred by any of them, or liable to any other person or entity (including, without limitation holders or beneficial owners of ADRs and ADSs) for any indirect, special, punitive or consequential damages (including fees and expenses of counsel) or lost profits, whether or not foreseeable and regardless of the type of action in which such a claim may be brought.</w:t>
      </w:r>
    </w:p>
    <w:p>
      <w:pPr>
        <w:spacing w:after="0" w:line="3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as ADS holders to deliver your ADSs for cancellation and withdrawal of the deposited securities so as to permit us to deal directly with the holder thereof as a holder of shares and, by holding an ADS or an interest therein, you and beneficial owners will be agreeing to comply with such instructions.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48"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65"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and the United States.</w:t>
      </w:r>
    </w:p>
    <w:p>
      <w:pPr>
        <w:spacing w:after="0" w:line="11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Adagene Inc. is incorporated in the Cayman Islands in order to enjoy the following benefits:</w:t>
      </w:r>
    </w:p>
    <w:p>
      <w:pPr>
        <w:spacing w:after="0" w:line="117"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40" w:lineRule="exact"/>
        <w:rPr>
          <w:sz w:val="20"/>
          <w:szCs w:val="20"/>
          <w:color w:val="auto"/>
        </w:rPr>
      </w:pPr>
    </w:p>
    <w:p>
      <w:pPr>
        <w:ind w:left="1800" w:right="6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94"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have substantive business operations conducted in China, and a significant portion of our assets are located in China. A number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0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Walkers (Hong Kong), our counsel as to Cayman Islands law, and Jingtian &amp; Gongcheng, our counsel as to PRC law, have advised us, respectively, that there is uncertainty as to whether the courts of the Cayman Islands and China, respectively, would:</w:t>
      </w:r>
    </w:p>
    <w:p>
      <w:pPr>
        <w:spacing w:after="0" w:line="61" w:lineRule="exact"/>
        <w:rPr>
          <w:sz w:val="20"/>
          <w:szCs w:val="20"/>
          <w:color w:val="auto"/>
        </w:rPr>
      </w:pPr>
    </w:p>
    <w:p>
      <w:pPr>
        <w:ind w:left="1800" w:right="71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81"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We have been advised by our Cayman Islands legal counsel, Walkers (Hong Kong),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at common law, recognize and enforce a foreign money judgment of a foreign court of competent jurisdiction without retrial on the merits of the underlying dispute,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nor inconsistent with a Cayman Islands judgment in respect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same matter, impeachable on the grounds of fraud or obtained in a manner, and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U.S. federal and state securities laws. Jingtian &amp; Gongcheng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some of our executive officers and directors reside within China for a significant portion of the time and some are PRC nationals. Further, according to the PRC Civil Procedures Law, courts in the PRC will not enforce a foreign judgment against us or our directors and officers if they decide that the judgment violates the basic principles of PRC law or national sovereignty, security or public interest. As a result, it may be difficult for our shareholders or investors to effect service of process upon us or such individuals inside China, and it is uncertain whether and on what basis a PRC court would enforce a judgment rendered by a court in the United States or in the Cayman Islands. Under the PRC Civil Procedures Law, foreign shareholders may originate actions based on PRC law against a company in the PRC, if they can establish sufficient nexus to the PRC for a PRC court to have jurisdiction, and meet other procedural requirements. However, it would be difficult for foreign shareholders to establish sufficient nexus to the PRC by virtue only of holding the ADSs or ordinary shares. See “Risk Factors —  Risks Related to Doing Business in the PRC — Your investments in our ADSs, Ordinary Shares and/or other Securities are investments in securities of a Cayman Islands holding company rather than securities of our subsidiaries that have substantive business operations in China. As a result, you may experience difficulties in effecting service of legal process, enforcing foreign judgments or bringing actions in China against us or our management based on foreign laws.” and “Item 3 Key Information — Risk Factors — Risks Related to the ADSs — You may face difficulties in protecting your interests, and your ability to protect your rights through U.S. courts may be limited, because we are incorporated under Cayman Islands law” in our most recent annual report on Form 20-F incorporated in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supplement(s)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collectively offer and sell, from time to time, some or all of the Securities covered by this prospectus up to US$200,000,000. We have registered the Securities covered by this prospectus for offer and sale by us so that those Securities may be freely sold to the public by us. Registration of the Securities covered by this prospectus does not mean, however, that those Securities necessarily will be offered or sold.</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The Securities being offered by this prospectus may be sold:</w:t>
      </w:r>
    </w:p>
    <w:p>
      <w:pPr>
        <w:spacing w:after="0" w:line="69" w:lineRule="exact"/>
        <w:rPr>
          <w:sz w:val="20"/>
          <w:szCs w:val="20"/>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on a firm commitment or agency basis;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on a negotiated basis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117" w:lineRule="exact"/>
        <w:rPr>
          <w:sz w:val="20"/>
          <w:szCs w:val="20"/>
          <w:color w:val="auto"/>
        </w:rPr>
      </w:pPr>
    </w:p>
    <w:p>
      <w:pPr>
        <w:ind w:left="1800" w:right="63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Nasdaq or any other organized market where the Securities may be traded;</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9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1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29"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2"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the indemnification or contribution.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Some of the agents, underwriters or dealers, or their affiliates may be customers of, engage in transactions with or perform services for us or our subsidiaries.</w:t>
      </w:r>
    </w:p>
    <w:p>
      <w:pPr>
        <w:spacing w:after="0" w:line="10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jurisdictions, the Securities offered by this prospectus may be sold in those jurisdictions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21"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 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stabilizing bid means the placing of any bid, or the effecting of any purchase, for the purpose of pegging, fixing or maintaining the price of a security.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281"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0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transactions may be effected on an exchange or automated quotation system, if the Securities are listed on that exchange or admitted for trading on that automated quotation system, or in the over-the-counter market or otherwise.</w:t>
      </w:r>
    </w:p>
    <w:p>
      <w:pPr>
        <w:spacing w:after="0" w:line="10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Each series of offered Securities, other than the ordinary shares,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1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Securities that qualify for sale pursuant to Rule 144 or Regulation S under the Securities Act may be sold under Rule 144 or Regulation S rather than pursuant to this prospectus.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we make sales to or through one or more underwriters or agents in at-the-market offerings, we will do so pursuant to the terms of a distribution agreement between us and the underwriters or agents. If we engage in at-the-market sales pursuant to a distribution agreement, we will offer and sell our ordinary shares to or through one or more underwriters or agents, which may act on an agency basis or on a principal basis. During the term of any such agreement, we may sell ordinary shares on a daily basis in exchange transactions or otherwise as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ordinary shares or other Securities. The terms of each such distribution agreement will be set forth in more detail in a prospectus supplement to this prospectus.</w:t>
      </w:r>
    </w:p>
    <w:p>
      <w:pPr>
        <w:spacing w:after="0" w:line="12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0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99"/>
        <w:spacing w:after="0" w:line="266" w:lineRule="auto"/>
        <w:rPr>
          <w:sz w:val="20"/>
          <w:szCs w:val="20"/>
          <w:color w:val="auto"/>
        </w:rPr>
      </w:pPr>
      <w:r>
        <w:rPr>
          <w:rFonts w:ascii="Times New Roman" w:cs="Times New Roman" w:eastAsia="Times New Roman" w:hAnsi="Times New Roman"/>
          <w:sz w:val="18"/>
          <w:szCs w:val="18"/>
          <w:color w:val="auto"/>
        </w:rPr>
        <w:t>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 effective amendment).</w:t>
      </w:r>
    </w:p>
    <w:p>
      <w:pPr>
        <w:spacing w:after="0" w:line="33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relating to the issuance and distribution of the Securities being registered hereby, all of which shall be borne by our company. All of such fees and expenses, except for the SEC registration fee, are estimates.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8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​​$30,620</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FINRA fees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w w:val="99"/>
              </w:rPr>
              <w:t>$30,500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880" w:type="dxa"/>
            <w:vAlign w:val="bottom"/>
            <w:gridSpan w:val="2"/>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6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880" w:type="dxa"/>
            <w:vAlign w:val="bottom"/>
            <w:gridSpan w:val="2"/>
            <w:shd w:val="clear" w:color="auto" w:fill="CCEEFF"/>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shd w:val="clear" w:color="auto" w:fill="CCEEFF"/>
          </w:tcPr>
          <w:p>
            <w:pPr>
              <w:spacing w:after="0"/>
              <w:rPr>
                <w:sz w:val="4"/>
                <w:szCs w:val="4"/>
                <w:color w:val="auto"/>
              </w:rPr>
            </w:pPr>
          </w:p>
        </w:tc>
        <w:tc>
          <w:tcPr>
            <w:tcW w:w="3020" w:type="dxa"/>
            <w:vAlign w:val="bottom"/>
            <w:shd w:val="clear" w:color="auto" w:fill="CCEEFF"/>
          </w:tcPr>
          <w:p>
            <w:pPr>
              <w:spacing w:after="0"/>
              <w:rPr>
                <w:sz w:val="4"/>
                <w:szCs w:val="4"/>
                <w:color w:val="auto"/>
              </w:rPr>
            </w:pPr>
          </w:p>
        </w:tc>
        <w:tc>
          <w:tcPr>
            <w:tcW w:w="2880" w:type="dxa"/>
            <w:vAlign w:val="bottom"/>
            <w:gridSpan w:val="2"/>
            <w:shd w:val="clear" w:color="auto" w:fill="CCEEFF"/>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Printing fees and expenses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4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880" w:type="dxa"/>
            <w:vAlign w:val="bottom"/>
            <w:gridSpan w:val="2"/>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6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2880" w:type="dxa"/>
            <w:vAlign w:val="bottom"/>
            <w:gridSpan w:val="2"/>
            <w:shd w:val="clear" w:color="auto" w:fill="CCEEFF"/>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shd w:val="clear" w:color="auto" w:fill="CCEEFF"/>
          </w:tcPr>
          <w:p>
            <w:pPr>
              <w:spacing w:after="0"/>
              <w:rPr>
                <w:sz w:val="4"/>
                <w:szCs w:val="4"/>
                <w:color w:val="auto"/>
              </w:rPr>
            </w:pPr>
          </w:p>
        </w:tc>
        <w:tc>
          <w:tcPr>
            <w:tcW w:w="3020" w:type="dxa"/>
            <w:vAlign w:val="bottom"/>
            <w:shd w:val="clear" w:color="auto" w:fill="CCEEFF"/>
          </w:tcPr>
          <w:p>
            <w:pPr>
              <w:spacing w:after="0"/>
              <w:rPr>
                <w:sz w:val="4"/>
                <w:szCs w:val="4"/>
                <w:color w:val="auto"/>
              </w:rPr>
            </w:pPr>
          </w:p>
        </w:tc>
        <w:tc>
          <w:tcPr>
            <w:tcW w:w="2880" w:type="dxa"/>
            <w:vAlign w:val="bottom"/>
            <w:gridSpan w:val="2"/>
            <w:shd w:val="clear" w:color="auto" w:fill="CCEEFF"/>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Miscellaneous fees and expenses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880" w:type="dxa"/>
            <w:vAlign w:val="bottom"/>
            <w:gridSpan w:val="2"/>
          </w:tcPr>
          <w:p>
            <w:pPr>
              <w:ind w:left="212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8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3719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19" w:lineRule="exact"/>
        <w:rPr>
          <w:sz w:val="20"/>
          <w:szCs w:val="20"/>
          <w:color w:val="auto"/>
        </w:rPr>
      </w:pPr>
    </w:p>
    <w:p>
      <w:pPr>
        <w:ind w:left="1620" w:right="659" w:hanging="360"/>
        <w:spacing w:after="0" w:line="302" w:lineRule="auto"/>
        <w:tabs>
          <w:tab w:leader="none" w:pos="16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by a prospectus supplement or as an exhibit to a report on Form 6-K that is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filed documents listed below, except as superseded, supplemented or modified by this prospectus:</w:t>
      </w:r>
    </w:p>
    <w:p>
      <w:pPr>
        <w:spacing w:after="0" w:line="54" w:lineRule="exact"/>
        <w:rPr>
          <w:sz w:val="20"/>
          <w:szCs w:val="20"/>
          <w:color w:val="auto"/>
        </w:rPr>
      </w:pPr>
    </w:p>
    <w:p>
      <w:pPr>
        <w:ind w:left="1800" w:right="559" w:hanging="180"/>
        <w:spacing w:after="0" w:line="282" w:lineRule="auto"/>
        <w:tabs>
          <w:tab w:leader="none" w:pos="1800" w:val="left"/>
        </w:tabs>
        <w:numPr>
          <w:ilvl w:val="0"/>
          <w:numId w:val="83"/>
        </w:numPr>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our annual report on Form 20-F for the fiscal year ended December 31, 2024, filed with the SEC on</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March 24, 2025 (File No. 001-39997);</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66" w:lineRule="auto"/>
        <w:tabs>
          <w:tab w:leader="none" w:pos="1800" w:val="left"/>
        </w:tabs>
        <w:numPr>
          <w:ilvl w:val="0"/>
          <w:numId w:val="83"/>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the description of </w:t>
        </w:r>
        <w:r>
          <w:rPr>
            <w:rFonts w:ascii="Times New Roman" w:cs="Times New Roman" w:eastAsia="Times New Roman" w:hAnsi="Times New Roman"/>
            <w:sz w:val="18"/>
            <w:szCs w:val="18"/>
            <w:u w:val="single" w:color="auto"/>
            <w:color w:val="0000EE"/>
          </w:rPr>
          <w:t>our ordinary shares contained in the registration statement on Form 8-A filed with</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the SEC on February 3, 2021</w:t>
        </w:r>
        <w:r>
          <w:rPr>
            <w:rFonts w:ascii="Times New Roman" w:cs="Times New Roman" w:eastAsia="Times New Roman" w:hAnsi="Times New Roman"/>
            <w:sz w:val="18"/>
            <w:szCs w:val="18"/>
            <w:color w:val="000000"/>
          </w:rPr>
          <w:t>, and any other amendment or report filed for the purpose of updating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description;</w:t>
      </w:r>
    </w:p>
    <w:p>
      <w:pPr>
        <w:spacing w:after="0" w:line="67"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furnished to the SEC after the date of this prospectus that are identified in such reports as being incorporated by reference in this prospectus.</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Potential investors, including any beneficial owner, may obtain a copy of any of the documents summarized herein (subject to certain restrictions because of the confidential nature of the subject matter) or any of our SEC filings incorporated by reference herein without charge by written request directed to</w:t>
      </w:r>
    </w:p>
    <w:p>
      <w:pPr>
        <w:spacing w:after="0" w:line="1" w:lineRule="exact"/>
        <w:rPr>
          <w:rFonts w:ascii="Times New Roman" w:cs="Times New Roman" w:eastAsia="Times New Roman" w:hAnsi="Times New Roman"/>
          <w:sz w:val="18"/>
          <w:szCs w:val="18"/>
          <w:color w:val="auto"/>
        </w:rPr>
      </w:pPr>
    </w:p>
    <w:p>
      <w:pPr>
        <w:ind w:left="1260" w:right="959"/>
        <w:spacing w:after="0" w:line="260" w:lineRule="auto"/>
        <w:rPr>
          <w:sz w:val="20"/>
          <w:szCs w:val="20"/>
          <w:color w:val="auto"/>
        </w:rPr>
      </w:pPr>
      <w:r>
        <w:rPr>
          <w:rFonts w:ascii="Times New Roman" w:cs="Times New Roman" w:eastAsia="Times New Roman" w:hAnsi="Times New Roman"/>
          <w:sz w:val="18"/>
          <w:szCs w:val="18"/>
          <w:color w:val="auto"/>
        </w:rPr>
        <w:t>4F, Building C14, No. 218, Xinghu Street, Suzhou Industrial Park Suzhou, Jiangsu Province, 215123, People’s Republic of China.</w:t>
      </w:r>
    </w:p>
    <w:p>
      <w:pPr>
        <w:spacing w:after="0" w:line="100" w:lineRule="exact"/>
        <w:rPr>
          <w:rFonts w:ascii="Times New Roman" w:cs="Times New Roman" w:eastAsia="Times New Roman" w:hAnsi="Times New Roman"/>
          <w:sz w:val="18"/>
          <w:szCs w:val="18"/>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spacing w:after="0" w:line="116" w:lineRule="exact"/>
        <w:rPr>
          <w:rFonts w:ascii="Times New Roman" w:cs="Times New Roman" w:eastAsia="Times New Roman" w:hAnsi="Times New Roman"/>
          <w:sz w:val="18"/>
          <w:szCs w:val="18"/>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3"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will be passed upon for us by Walkers (Hong Kong). Certain legal matters as to PRC law (excluding the laws of Taiwan, Hong Kong and Macau) will be passed upon for us by Jingtian &amp; Gongcheng and for the underwriters by a law firm named in the applicable prospectus supplement. Davis Polk &amp; Wardwell LLP may rely upon Walkers (Hong Kong) with respect to matters governed by Cayman Islands law and Jingtian</w:t>
      </w:r>
    </w:p>
    <w:p>
      <w:pPr>
        <w:spacing w:after="0" w:line="1" w:lineRule="exact"/>
        <w:rPr>
          <w:sz w:val="20"/>
          <w:szCs w:val="20"/>
          <w:color w:val="auto"/>
        </w:rPr>
      </w:pPr>
    </w:p>
    <w:p>
      <w:pPr>
        <w:ind w:left="1260" w:right="479"/>
        <w:spacing w:after="0" w:line="260" w:lineRule="auto"/>
        <w:tabs>
          <w:tab w:leader="none" w:pos="14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Gongcheng with respect to matters governed by PRC law (excluding the laws of Taiwan, Hong Kong and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61" w:lineRule="auto"/>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20-</w:t>
        </w:r>
      </w:hyperlink>
      <w:hyperlink r:id="rId190">
        <w:r>
          <w:rPr>
            <w:rFonts w:ascii="Times New Roman" w:cs="Times New Roman" w:eastAsia="Times New Roman" w:hAnsi="Times New Roman"/>
            <w:sz w:val="18"/>
            <w:szCs w:val="18"/>
            <w:u w:val="single" w:color="auto"/>
            <w:color w:val="0000EE"/>
          </w:rPr>
          <w:t>F for the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Zhong Tian LLP, an independent registered public accounting firm, given on the authority of said firm as experts in auditing and accounting.</w:t>
      </w:r>
    </w:p>
    <w:p>
      <w:pPr>
        <w:spacing w:after="0" w:line="11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offices of PricewaterhouseCoopers Zhong Tian LLP are located at 42/F New Bund Center, 588 Dongyu Road, Pudong New Area, Shanghai 200126,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offer and sale of Securities pursuant to this prospectus.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 agreement or document,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obtained from the SEC’s website that contains reports, proxy and information statements and other information regarding registrants that file electronically through the SEC’s Electronic Data Gathering, Analysis and Retrieval (“EDGAR”) system, including the Company, which can be accessed at http://www.sec.gov. For further information pertaining to the Securities offered by this prospectus and Adagene Inc., reference is made to the registration statement.</w:t>
      </w:r>
    </w:p>
    <w:p>
      <w:pPr>
        <w:spacing w:after="0" w:line="13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furnish reports and other information to the SEC. You may read and copy any document we furnish at the SEC’s public reference facilities and the website of the SEC referred to above. Our file number with the SEC is 001-39997.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1013460</wp:posOffset>
            </wp:positionV>
            <wp:extent cx="1165860" cy="266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116586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20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4"/>
          <w:szCs w:val="24"/>
          <w:b w:val="1"/>
          <w:bCs w:val="1"/>
          <w:color w:val="auto"/>
        </w:rPr>
        <w:t>18,666,000 American Depositary Shares Representing 23,332,500 Ordinary</w:t>
      </w:r>
    </w:p>
    <w:p>
      <w:pPr>
        <w:spacing w:after="0" w:line="4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1365885</wp:posOffset>
            </wp:positionV>
            <wp:extent cx="1234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Leerink Partners                               LifeSci Capital</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18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Lucid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Prospectus supplement dated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977265</wp:posOffset>
            </wp:positionV>
            <wp:extent cx="5212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lowerRoman"/>
      <w:start w:val="2"/>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5"/>
    </w:lvl>
  </w:abstractNum>
  <w:abstractNum w:abstractNumId="7">
    <w:nsid w:val="4B588F54"/>
    <w:multiLevelType w:val="hybridMultilevel"/>
    <w:lvl w:ilvl="0">
      <w:lvlJc w:val="left"/>
      <w:lvlText w:val="(%1)"/>
      <w:numFmt w:val="lowerLetter"/>
      <w:start w:val="1"/>
    </w:lvl>
  </w:abstractNum>
  <w:abstractNum w:abstractNumId="8">
    <w:nsid w:val="542289EC"/>
    <w:multiLevelType w:val="hybridMultilevel"/>
    <w:lvl w:ilvl="0">
      <w:lvlJc w:val="left"/>
      <w:lvlText w:val="•"/>
      <w:numFmt w:val="bullet"/>
      <w:start w:val="1"/>
    </w:lvl>
    <w:lvl w:ilvl="1">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upperLetter"/>
      <w:start w:val="1"/>
    </w:lvl>
  </w:abstractNum>
  <w:abstractNum w:abstractNumId="25">
    <w:nsid w:val="23F9C13C"/>
    <w:multiLevelType w:val="hybridMultilevel"/>
    <w:lvl w:ilvl="0">
      <w:lvlJc w:val="left"/>
      <w:lvlText w:val="(%1)"/>
      <w:numFmt w:val="lowerLetter"/>
      <w:start w:val="1"/>
    </w:lvl>
  </w:abstractNum>
  <w:abstractNum w:abstractNumId="26">
    <w:nsid w:val="649BB77C"/>
    <w:multiLevelType w:val="hybridMultilevel"/>
    <w:lvl w:ilvl="0">
      <w:lvlJc w:val="left"/>
      <w:lvlText w:val="(%1)"/>
      <w:numFmt w:val="lowerLetter"/>
      <w:start w:val="3"/>
    </w:lvl>
  </w:abstractNum>
  <w:abstractNum w:abstractNumId="27">
    <w:nsid w:val="275AC794"/>
    <w:multiLevelType w:val="hybridMultilevel"/>
    <w:lvl w:ilvl="0">
      <w:lvlJc w:val="left"/>
      <w:lvlText w:val="(%1)"/>
      <w:numFmt w:val="lowerLetter"/>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lowerRoman"/>
      <w:start w:val="1"/>
    </w:lvl>
  </w:abstractNum>
  <w:abstractNum w:abstractNumId="30">
    <w:nsid w:val="180115BE"/>
    <w:multiLevelType w:val="hybridMultilevel"/>
    <w:lvl w:ilvl="0">
      <w:lvlJc w:val="left"/>
      <w:lvlText w:val="(%1)"/>
      <w:numFmt w:val="lowerRoman"/>
      <w:start w:val="3"/>
    </w:lvl>
  </w:abstractNum>
  <w:abstractNum w:abstractNumId="31">
    <w:nsid w:val="235BA861"/>
    <w:multiLevelType w:val="hybridMultilevel"/>
    <w:lvl w:ilvl="0">
      <w:lvlJc w:val="left"/>
      <w:lvlText w:val="(%1)"/>
      <w:numFmt w:val="lowerRoman"/>
      <w:start w:val="2"/>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lowerRoman"/>
      <w:start w:val="3"/>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Letter"/>
      <w:start w:val="3"/>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lowerRoman"/>
      <w:start w:val="5"/>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lvl w:ilvl="1">
      <w:lvlJc w:val="left"/>
      <w:lvlText w:val="(%2)"/>
      <w:numFmt w:val="lowerRoman"/>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jpe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98" Type="http://schemas.openxmlformats.org/officeDocument/2006/relationships/hyperlink" Target="https://www.sec.gov/ix?doc=/Archives/edgar/data/1818838/000110465926038612/adag-20251231x20f.htm" TargetMode="External"/><Relationship Id="rId99" Type="http://schemas.openxmlformats.org/officeDocument/2006/relationships/hyperlink" Target="http://www.sec.gov/Archives/edgar/data/1818838/000110465921011303/a20-29876_128a12b.htm" TargetMode="External"/><Relationship Id="rId129" Type="http://schemas.openxmlformats.org/officeDocument/2006/relationships/hyperlink" Target="http://www.sec.gov/ix?doc=/Archives/edgar/data/1818838/000141057825000419/adag-20241231x20f.htm" TargetMode="External"/><Relationship Id="rId190" Type="http://schemas.openxmlformats.org/officeDocument/2006/relationships/hyperlink" Target="https://www.sec.gov/ix?doc=/Archives/edgar/data/1818838/000141057825000419/adag-2024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2026-04-02T15:33:56Z</dcterms:created>
  <dcterms:modified xsi:type="dcterms:W3CDTF">2026-04-02T15:33:56Z</dcterms:modified>
</cp:coreProperties>
</file>