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0000FF"/>
        </w:rPr>
        <w:t>ADAGENE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American Depository Receipt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jc w:val="center"/>
        <w:ind w:right="7079"/>
        <w:spacing w:after="0"/>
        <w:rPr>
          <w:sz w:val="20"/>
          <w:szCs w:val="20"/>
          <w:color w:val="auto"/>
        </w:rPr>
      </w:pPr>
      <w:r>
        <w:rPr>
          <w:rFonts w:ascii="Times New Roman" w:cs="Times New Roman" w:eastAsia="Times New Roman" w:hAnsi="Times New Roman"/>
          <w:sz w:val="22"/>
          <w:szCs w:val="22"/>
          <w:color w:val="auto"/>
        </w:rPr>
        <w:t>JERSEY</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6,666,666.00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6,666,666.00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6,666,666.00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10.1 %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ADAGENE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4F, BUILDING C14, NO.218, ZINGHU STREET, SUZHOU INDUSTRIAL PARK JIANGSU, CHINA 00000</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201 Bishopsgate EC2M 3AE, United Kingdom</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American Depository Receipt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80"/>
        <w:spacing w:after="0" w:line="246" w:lineRule="auto"/>
        <w:rPr>
          <w:sz w:val="20"/>
          <w:szCs w:val="20"/>
          <w:color w:val="auto"/>
        </w:rPr>
      </w:pPr>
      <w:r>
        <w:rPr>
          <w:rFonts w:ascii="Times New Roman" w:cs="Times New Roman" w:eastAsia="Times New Roman" w:hAnsi="Times New Roman"/>
          <w:sz w:val="21"/>
          <w:szCs w:val="21"/>
          <w:color w:val="auto"/>
        </w:rPr>
        <w:t>Janus Henderson Group plc (JHG) is the ultimate parent of a number of SEC-registered investment advisers and foreign equivalents thereof, including but not limited to Janus Henderson Investors US LLC, Janus Henderson Investors UK Limited, Janus Henderson Investors Australia Institutional Funds Management Limited, Janus Henderson Investors Middle East Limited, Janus Henderson Investors (Jersey) Limited, Janus Henderson Investors (Japan) Limited, Janus Henderson Investors (Singapore) Limited, Kapstream Capital Pty Limited, Privacore Capital</w:t>
      </w:r>
    </w:p>
    <w:p>
      <w:pPr>
        <w:spacing w:after="0" w:line="1" w:lineRule="exact"/>
        <w:rPr>
          <w:sz w:val="20"/>
          <w:szCs w:val="20"/>
          <w:color w:val="auto"/>
        </w:rPr>
      </w:pPr>
    </w:p>
    <w:p>
      <w:pPr>
        <w:ind w:left="920" w:right="20" w:hanging="912"/>
        <w:spacing w:after="0" w:line="232"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Advisors LLC, Tabula Investment Management Limited, and Victory Park Capital Advisors LLC (each, an Asset Manager and together, the Asset Managers). The Asset Managers generally exercise investment and/or voting discretion on behalf of their clients which include investment companies, other investment advisers, institutional separate accounts and retail separate accounts (collectively referred to herein as Managed Portfolios). As a result of their exercise of investment and/or voting discretion on behalf of the Managed Portfolios, the Asset Managers may be deemed to be the beneficial owner of 6,666,666 American Depository Receipt of Adagene Inc. However, the Asset Managers do not have the right to receive any dividends from, or the proceeds from the sale of, the securities held in the Managed Portfolios and disclaim any ownership associated with such rights.</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1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6666666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6666666</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22"/>
          <w:szCs w:val="22"/>
          <w:color w:val="auto"/>
        </w:rPr>
        <w:t>The Managed Portfolios have the right to receive all dividends from, and the proceeds from the sale of, the securities held in their respective accounts. Of the Managed Portfolios, only the Janus Henderson Biotech Innovation Master Fund Ltd. has the right to receive dividends from, or the proceeds from the sale of, more than five percent of the American Depository Receipt of Adagene Inc. Due to an irrevocable delegation of investment and voting discretion to an Asset Manager on less than 60 days notice, the Fund is not considered a Reporting Person under Section 13(d) and (g).</w:t>
      </w:r>
    </w:p>
    <w:p>
      <w:pPr>
        <w:spacing w:after="0" w:line="19"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ectPr>
          <w:pgSz w:w="11900" w:h="16838" w:orient="portrait"/>
          <w:cols w:equalWidth="0" w:num="2">
            <w:col w:w="620" w:space="300"/>
            <w:col w:w="10220"/>
          </w:cols>
          <w:pgMar w:left="360" w:top="111" w:right="399" w:bottom="182"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Please refer to Exhibit 99.</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43" w:lineRule="exact"/>
        <w:rPr>
          <w:sz w:val="20"/>
          <w:szCs w:val="20"/>
          <w:color w:val="auto"/>
        </w:rPr>
      </w:pPr>
    </w:p>
    <w:p>
      <w:pPr>
        <w:jc w:val="center"/>
        <w:ind w:right="8920"/>
        <w:spacing w:after="0"/>
        <w:rPr>
          <w:sz w:val="20"/>
          <w:szCs w:val="20"/>
          <w:color w:val="auto"/>
        </w:rPr>
      </w:pPr>
      <w:r>
        <w:rPr>
          <w:rFonts w:ascii="Times New Roman" w:cs="Times New Roman" w:eastAsia="Times New Roman" w:hAnsi="Times New Roman"/>
          <w:sz w:val="22"/>
          <w:szCs w:val="22"/>
          <w:color w:val="auto"/>
        </w:rPr>
        <w:t>N/A</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152" w:lineRule="exact"/>
        <w:rPr>
          <w:sz w:val="20"/>
          <w:szCs w:val="20"/>
          <w:color w:val="auto"/>
        </w:rPr>
      </w:pPr>
    </w:p>
    <w:p>
      <w:pPr>
        <w:ind w:left="4420"/>
        <w:spacing w:after="0"/>
        <w:tabs>
          <w:tab w:leader="none" w:pos="5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Kristin Mariani</w:t>
      </w:r>
    </w:p>
    <w:p>
      <w:pPr>
        <w:spacing w:after="0" w:line="4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Name/Title: Head of North America Compliance</w:t>
      </w:r>
    </w:p>
    <w:p>
      <w:pPr>
        <w:spacing w:after="0" w:line="44" w:lineRule="exact"/>
        <w:rPr>
          <w:sz w:val="20"/>
          <w:szCs w:val="20"/>
          <w:color w:val="auto"/>
        </w:rPr>
      </w:pPr>
    </w:p>
    <w:p>
      <w:pPr>
        <w:ind w:left="4420"/>
        <w:spacing w:after="0"/>
        <w:tabs>
          <w:tab w:leader="none" w:pos="5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Janus Henderson Group plc ("the Company"),</w:t>
      </w:r>
    </w:p>
    <w:p>
      <w:pPr>
        <w:spacing w:after="0" w:line="31" w:lineRule="exact"/>
        <w:rPr>
          <w:sz w:val="20"/>
          <w:szCs w:val="20"/>
          <w:color w:val="auto"/>
        </w:rPr>
      </w:pPr>
    </w:p>
    <w:p>
      <w:pPr>
        <w:ind w:right="3279"/>
        <w:spacing w:after="0" w:line="269" w:lineRule="auto"/>
        <w:rPr>
          <w:sz w:val="20"/>
          <w:szCs w:val="20"/>
          <w:color w:val="auto"/>
        </w:rPr>
      </w:pPr>
      <w:r>
        <w:rPr>
          <w:rFonts w:ascii="Courier New" w:cs="Courier New" w:eastAsia="Courier New" w:hAnsi="Courier New"/>
          <w:sz w:val="16"/>
          <w:szCs w:val="16"/>
          <w:color w:val="auto"/>
        </w:rPr>
        <w:t>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 This power of attorney shall be valid from the date hereof and shall remain in full force and effect until either revoked in writing by the Company, or, in respect of any attorney-in-fact named herein, until such person ceases to</w:t>
      </w:r>
    </w:p>
    <w:p>
      <w:pPr>
        <w:spacing w:after="0" w:line="200" w:lineRule="exact"/>
        <w:rPr>
          <w:sz w:val="20"/>
          <w:szCs w:val="20"/>
          <w:color w:val="auto"/>
        </w:rPr>
      </w:pPr>
    </w:p>
    <w:p>
      <w:pPr>
        <w:spacing w:after="0" w:line="391" w:lineRule="exact"/>
        <w:rPr>
          <w:sz w:val="20"/>
          <w:szCs w:val="20"/>
          <w:color w:val="auto"/>
        </w:rPr>
      </w:pPr>
    </w:p>
    <w:p>
      <w:pPr>
        <w:ind w:right="4119"/>
        <w:spacing w:after="0" w:line="238" w:lineRule="auto"/>
        <w:rPr>
          <w:sz w:val="20"/>
          <w:szCs w:val="20"/>
          <w:color w:val="auto"/>
        </w:rPr>
      </w:pPr>
      <w:r>
        <w:rPr>
          <w:rFonts w:ascii="Courier New" w:cs="Courier New" w:eastAsia="Courier New" w:hAnsi="Courier New"/>
          <w:sz w:val="18"/>
          <w:szCs w:val="18"/>
          <w:color w:val="auto"/>
        </w:rPr>
        <w:t>be an employee of the Company or one of its affiliates. IN WITNESS WHEREOF, the undersigned has caused this power of attorney to be executed as of this 9th day of December, 2022. Janus Henderson Group plc By: /s/ Michelle Rosenberg</w:t>
      </w:r>
    </w:p>
    <w:p>
      <w:pPr>
        <w:spacing w:after="0"/>
        <w:rPr>
          <w:sz w:val="20"/>
          <w:szCs w:val="20"/>
          <w:color w:val="auto"/>
        </w:rPr>
      </w:pPr>
      <w:r>
        <w:rPr>
          <w:rFonts w:ascii="Courier New" w:cs="Courier New" w:eastAsia="Courier New" w:hAnsi="Courier New"/>
          <w:sz w:val="18"/>
          <w:szCs w:val="18"/>
          <w:color w:val="auto"/>
        </w:rPr>
        <w:t>Name: Michelle Rosenberg</w:t>
      </w:r>
    </w:p>
    <w:p>
      <w:pPr>
        <w:spacing w:after="0"/>
        <w:rPr>
          <w:sz w:val="20"/>
          <w:szCs w:val="20"/>
          <w:color w:val="auto"/>
        </w:rPr>
      </w:pPr>
      <w:r>
        <w:rPr>
          <w:rFonts w:ascii="Courier New" w:cs="Courier New" w:eastAsia="Courier New" w:hAnsi="Courier New"/>
          <w:sz w:val="18"/>
          <w:szCs w:val="18"/>
          <w:color w:val="auto"/>
        </w:rPr>
        <w:t>Title: General Counsel and Company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The Asset Managers on whose behalf JHG is reporting include: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Investors US LLC (IA)</w:t>
      </w:r>
    </w:p>
    <w:p>
      <w:pPr>
        <w:spacing w:after="0" w:line="238" w:lineRule="auto"/>
        <w:rPr>
          <w:sz w:val="20"/>
          <w:szCs w:val="20"/>
          <w:color w:val="auto"/>
        </w:rPr>
      </w:pPr>
      <w:r>
        <w:rPr>
          <w:rFonts w:ascii="Courier New" w:cs="Courier New" w:eastAsia="Courier New" w:hAnsi="Courier New"/>
          <w:sz w:val="18"/>
          <w:szCs w:val="18"/>
          <w:color w:val="auto"/>
        </w:rPr>
        <w:t>Janus Henderson Investors UK Limited (FI)</w:t>
      </w:r>
    </w:p>
    <w:p>
      <w:pPr>
        <w:spacing w:after="0"/>
        <w:rPr>
          <w:sz w:val="20"/>
          <w:szCs w:val="20"/>
          <w:color w:val="auto"/>
        </w:rPr>
      </w:pPr>
      <w:r>
        <w:rPr>
          <w:rFonts w:ascii="Courier New" w:cs="Courier New" w:eastAsia="Courier New" w:hAnsi="Courier New"/>
          <w:sz w:val="16"/>
          <w:szCs w:val="16"/>
          <w:color w:val="auto"/>
        </w:rPr>
        <w:t>Janus Henderson Investors Australia Institutional Funds Management Limited (FI)</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Investors International Limited (FI)</w:t>
      </w:r>
    </w:p>
    <w:p>
      <w:pPr>
        <w:spacing w:after="0" w:line="238" w:lineRule="auto"/>
        <w:rPr>
          <w:sz w:val="20"/>
          <w:szCs w:val="20"/>
          <w:color w:val="auto"/>
        </w:rPr>
      </w:pPr>
      <w:r>
        <w:rPr>
          <w:rFonts w:ascii="Courier New" w:cs="Courier New" w:eastAsia="Courier New" w:hAnsi="Courier New"/>
          <w:sz w:val="18"/>
          <w:szCs w:val="18"/>
          <w:color w:val="auto"/>
        </w:rPr>
        <w:t>Janus Henderson Investors Middle East Limited (FI)</w:t>
      </w:r>
    </w:p>
    <w:p>
      <w:pPr>
        <w:spacing w:after="0" w:line="238" w:lineRule="auto"/>
        <w:rPr>
          <w:sz w:val="20"/>
          <w:szCs w:val="20"/>
          <w:color w:val="auto"/>
        </w:rPr>
      </w:pPr>
      <w:r>
        <w:rPr>
          <w:rFonts w:ascii="Courier New" w:cs="Courier New" w:eastAsia="Courier New" w:hAnsi="Courier New"/>
          <w:sz w:val="18"/>
          <w:szCs w:val="18"/>
          <w:color w:val="auto"/>
        </w:rPr>
        <w:t>Janus Henderson Investors (Jersey) Limited (FI)</w:t>
      </w:r>
    </w:p>
    <w:p>
      <w:pPr>
        <w:spacing w:after="0"/>
        <w:rPr>
          <w:sz w:val="20"/>
          <w:szCs w:val="20"/>
          <w:color w:val="auto"/>
        </w:rPr>
      </w:pPr>
      <w:r>
        <w:rPr>
          <w:rFonts w:ascii="Courier New" w:cs="Courier New" w:eastAsia="Courier New" w:hAnsi="Courier New"/>
          <w:sz w:val="18"/>
          <w:szCs w:val="18"/>
          <w:color w:val="auto"/>
        </w:rPr>
        <w:t>Janus Henderson Investors (Japan) Limited (FI)</w:t>
      </w:r>
    </w:p>
    <w:p>
      <w:pPr>
        <w:spacing w:after="0" w:line="238" w:lineRule="auto"/>
        <w:rPr>
          <w:sz w:val="20"/>
          <w:szCs w:val="20"/>
          <w:color w:val="auto"/>
        </w:rPr>
      </w:pPr>
      <w:r>
        <w:rPr>
          <w:rFonts w:ascii="Courier New" w:cs="Courier New" w:eastAsia="Courier New" w:hAnsi="Courier New"/>
          <w:sz w:val="18"/>
          <w:szCs w:val="18"/>
          <w:color w:val="auto"/>
        </w:rPr>
        <w:t>Janus Henderson Investors (Singapore) Limited (FI)</w:t>
      </w:r>
    </w:p>
    <w:p>
      <w:pPr>
        <w:spacing w:after="0" w:line="238" w:lineRule="auto"/>
        <w:rPr>
          <w:sz w:val="20"/>
          <w:szCs w:val="20"/>
          <w:color w:val="auto"/>
        </w:rPr>
      </w:pPr>
      <w:r>
        <w:rPr>
          <w:rFonts w:ascii="Courier New" w:cs="Courier New" w:eastAsia="Courier New" w:hAnsi="Courier New"/>
          <w:sz w:val="18"/>
          <w:szCs w:val="18"/>
          <w:color w:val="auto"/>
        </w:rPr>
        <w:t>Kapstream Capital Pty Limited (FI)</w:t>
      </w:r>
    </w:p>
    <w:p>
      <w:pPr>
        <w:spacing w:after="0"/>
        <w:rPr>
          <w:sz w:val="20"/>
          <w:szCs w:val="20"/>
          <w:color w:val="auto"/>
        </w:rPr>
      </w:pPr>
      <w:r>
        <w:rPr>
          <w:rFonts w:ascii="Courier New" w:cs="Courier New" w:eastAsia="Courier New" w:hAnsi="Courier New"/>
          <w:sz w:val="18"/>
          <w:szCs w:val="18"/>
          <w:color w:val="auto"/>
        </w:rPr>
        <w:t>Privacore Capital Advisors LLC (FI)</w:t>
      </w:r>
    </w:p>
    <w:p>
      <w:pPr>
        <w:spacing w:after="0" w:line="238" w:lineRule="auto"/>
        <w:rPr>
          <w:sz w:val="20"/>
          <w:szCs w:val="20"/>
          <w:color w:val="auto"/>
        </w:rPr>
      </w:pPr>
      <w:r>
        <w:rPr>
          <w:rFonts w:ascii="Courier New" w:cs="Courier New" w:eastAsia="Courier New" w:hAnsi="Courier New"/>
          <w:sz w:val="18"/>
          <w:szCs w:val="18"/>
          <w:color w:val="auto"/>
        </w:rPr>
        <w:t>Tabula Investment Management Limited (FI)</w:t>
      </w:r>
    </w:p>
    <w:p>
      <w:pPr>
        <w:spacing w:after="0"/>
        <w:rPr>
          <w:sz w:val="20"/>
          <w:szCs w:val="20"/>
          <w:color w:val="auto"/>
        </w:rPr>
      </w:pPr>
      <w:r>
        <w:rPr>
          <w:rFonts w:ascii="Courier New" w:cs="Courier New" w:eastAsia="Courier New" w:hAnsi="Courier New"/>
          <w:sz w:val="18"/>
          <w:szCs w:val="18"/>
          <w:color w:val="auto"/>
        </w:rPr>
        <w:t>Victory Park Capital Advisors LLC (FI)</w:t>
      </w:r>
    </w:p>
    <w:p>
      <w:pPr>
        <w:spacing w:after="0" w:line="169" w:lineRule="exact"/>
        <w:rPr>
          <w:sz w:val="20"/>
          <w:szCs w:val="20"/>
          <w:color w:val="auto"/>
        </w:rPr>
      </w:pPr>
    </w:p>
    <w:p>
      <w:pPr>
        <w:ind w:right="1699"/>
        <w:spacing w:after="0" w:line="346" w:lineRule="auto"/>
        <w:rPr>
          <w:sz w:val="20"/>
          <w:szCs w:val="20"/>
          <w:color w:val="auto"/>
        </w:rPr>
      </w:pPr>
      <w:r>
        <w:rPr>
          <w:rFonts w:ascii="Courier New" w:cs="Courier New" w:eastAsia="Courier New" w:hAnsi="Courier New"/>
          <w:sz w:val="18"/>
          <w:szCs w:val="18"/>
          <w:color w:val="auto"/>
        </w:rPr>
        <w:t>Please note that not every Asset Manager has investment and/or voting discretion over the securities reported herein.</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2026-05-07T10:30:32Z</dcterms:created>
  <dcterms:modified xsi:type="dcterms:W3CDTF">2026-05-07T10:30:32Z</dcterms:modified>
</cp:coreProperties>
</file>