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color w:val="auto"/>
        </w:rPr>
        <w:t>SECURITIES AND EXCHANGE COMMISSION</w:t>
      </w:r>
    </w:p>
    <w:p>
      <w:pPr>
        <w:ind w:left="4460"/>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144145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001-39997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Adagene Inc.</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4F, Building C14, No. 218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Xinghu Street, Suzhou Industrial Park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Suzhou, Jiangsu Province, 215123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97" w:right="1440" w:bottom="1440" w:gutter="0" w:footer="0" w:header="0"/>
        </w:sectPr>
      </w:pPr>
    </w:p>
    <w:bookmarkStart w:id="1" w:name="page2"/>
    <w:bookmarkEnd w:id="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 2026, Adagene Inc. (“Adagene or the Company”), (Nasdaq: ADAG), a company transforming the discovery and development of novel antibody-based therapies, entered into an underwriting agreement (the “Underwriting Agreement”) with Leerink Partners LLC (“Leerink Partners”) and LifeSci Capital LLC (“LifeSci” and together with Leerink Partners, the “Underwriters”), pursuant to which the Company agreed to issue and sell in an underwritten offering (the “Offering”) an aggregate of 18,666,000 American Depositary Shares (“ADSs”), each ADS representing 1.25 ordinary shares of the Company, at the offering price of US$3.75 per ADS, representing the 30-day volume-weighted average price (“VWAP”). All of the securities are being sold by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Offering will be approximately US$70.0 million, before deducting the underwriting discounts and estimated offering expenses payable by the Company. The closing of the Offering is expected to occur on April 6, 2026, subject to the satisfaction of customary closing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such parties.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Offering, officers and directors of the Company entered into a lock-up agreement with the Underwriters, pursuant to which, subject to certain exceptions, they agreed not to offer, pledge, sell, contract to sell, sell any option or contract to purchase, purchase any option or contract to sell, grant any option, right or warrant for the sale of, or otherwise dispose of or transfer any ADSs, ordinary shares or securities convertible into or exchangeable or exercisable for ADSs or ordinary shares for a period of 60 days following the date of prospectus supplement without the prior written consent of Leerink Partners, on behalf of the Underwriters.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shelf registration statement on Form F-3 and accompanying prospectus (File No. 287161), filed with the U.S. Securities and Exchange Commission (the “SEC”), and a prospectus supplement thereunder. A copy of the Underwriting Agreement is filed as Exhibits 1.1 and 4.1, respectively, to this report, and the foregoing description of the terms of the Underwriting Agreement do not purport to be complete and are qualified in their entirety by reference to such exhibits. A copy of the opinion of Walkers (Hong Kong) relating to the legality of the issuance and sale of the ordinary shares in the Offering is attached as Exhibits 5.1 hereto. A copy of the opinion of Jingtian &amp; Gongcheng relating to certain PRC law matters is attached as Exhibit 8.1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statements of Adagene on Form F-3 (No. 333-287161) to the extent not superseded by documents or reports subsequently filed.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current report contains forward-looking statements, including, but not limited to, statements relating to the satisfaction of customary closing conditions related to the offering, the expected closing of the offering and the anticipated gross proceeds from the offering and Adagene's intended use of the net proceeds therefrom. Actual results may differ materially from those indicated in the forward-looking statements due to the risks and uncertainties associated with market conditions and the satisfaction of customary closing conditions related to the offering, as well as risks and uncertainties inherent in Adagene's business described in the Company's prior press releases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88"/>
              </w:rPr>
              <w:t>1.</w:t>
            </w:r>
            <w:r>
              <w:rPr>
                <w:rFonts w:ascii="Times New Roman" w:cs="Times New Roman" w:eastAsia="Times New Roman" w:hAnsi="Times New Roman"/>
                <w:sz w:val="18"/>
                <w:szCs w:val="18"/>
                <w:u w:val="single" w:color="auto"/>
                <w:color w:val="0000EE"/>
                <w:w w:val="88"/>
              </w:rPr>
              <w:t>1</w:t>
            </w: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EE"/>
              </w:rPr>
              <w:t>Underwriting Agreement, by and among the Company, Leerink Partners LLC, and LifeSci Capital LLC, as representatives of the several</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underwriters named therein, dated April 2, 2026.</w:t>
            </w:r>
          </w:p>
        </w:tc>
        <w:tc>
          <w:tcPr>
            <w:tcW w:w="63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Opinion of Walkers (Hong Kong).</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8.</w:t>
            </w:r>
            <w:r>
              <w:rPr>
                <w:rFonts w:ascii="Times New Roman" w:cs="Times New Roman" w:eastAsia="Times New Roman" w:hAnsi="Times New Roman"/>
                <w:sz w:val="18"/>
                <w:szCs w:val="18"/>
                <w:u w:val="single" w:color="auto"/>
                <w:color w:val="0000EE"/>
                <w:w w:val="88"/>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Opinion of Jingtian &amp; Gongcheng.</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Consent of Walkers (Hong Kong)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Jingtian &amp; Gongcheng (included in Exhibit 8.1).</w:t>
            </w:r>
          </w:p>
        </w:tc>
        <w:tc>
          <w:tcPr>
            <w:tcW w:w="5560" w:type="dxa"/>
            <w:vAlign w:val="bottom"/>
            <w:gridSpan w:val="2"/>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ADAGENE, INC.</w:t>
            </w: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2, 2026</w:t>
            </w:r>
          </w:p>
        </w:tc>
        <w:tc>
          <w:tcPr>
            <w:tcW w:w="5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/s/ Peter (Peizhi) Luo</w:t>
            </w:r>
          </w:p>
        </w:tc>
      </w:tr>
      <w:tr>
        <w:trPr>
          <w:trHeight w:val="191"/>
        </w:trPr>
        <w:tc>
          <w:tcPr>
            <w:tcW w:w="580" w:type="dxa"/>
            <w:vAlign w:val="bottom"/>
          </w:tcPr>
          <w:p>
            <w:pPr>
              <w:spacing w:after="0"/>
              <w:rPr>
                <w:sz w:val="16"/>
                <w:szCs w:val="16"/>
                <w:color w:val="auto"/>
              </w:rPr>
            </w:pPr>
          </w:p>
        </w:tc>
        <w:tc>
          <w:tcPr>
            <w:tcW w:w="50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Peter (Peizhi) Luo</w:t>
            </w:r>
          </w:p>
        </w:tc>
      </w:t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PAR VALUE US$0.0001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Form of American Depositary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eerink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artners</w:t>
      </w:r>
      <w:r>
        <w:rPr>
          <w:rFonts w:ascii="Times New Roman" w:cs="Times New Roman" w:eastAsia="Times New Roman" w:hAnsi="Times New Roman"/>
          <w:sz w:val="18"/>
          <w:szCs w:val="18"/>
          <w:color w:val="auto"/>
        </w:rPr>
        <w:t xml:space="preserv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ife</w:t>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ci</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A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LifeSci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Broadway,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Adagene Inc., a company incorporated in the Cayman Islands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agrees with the several Underwriters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to issue and sell to the several Underwriters 23,332,500 ordinary shares, par value US$0.0001 per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in the form of 18,666,000 American Depositary Shares (“</w:t>
      </w:r>
      <w:r>
        <w:rPr>
          <w:rFonts w:ascii="Times New Roman" w:cs="Times New Roman" w:eastAsia="Times New Roman" w:hAnsi="Times New Roman"/>
          <w:sz w:val="18"/>
          <w:szCs w:val="18"/>
          <w:b w:val="1"/>
          <w:bCs w:val="1"/>
          <w:color w:val="auto"/>
        </w:rPr>
        <w:t>American Depositary Shares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The ADSs are to be issued pursuant to a Deposit Agreement dated as of February 8, 2021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the Company, JPMorgan Chase 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the beneficial owners and holders from time to time of the American Depositary Receipts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issued by the Depositary and evidencing the ADSs issued under the Deposit Agreement. Each ADS will initially represent the right to receive one and one quarter (1.25) Ordinary Shares deposited pursuant to the Deposit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represents and warrants to, and agrees with, the several Underwriters that:</w:t>
      </w:r>
    </w:p>
    <w:p>
      <w:pPr>
        <w:spacing w:after="0" w:line="223" w:lineRule="exact"/>
        <w:rPr>
          <w:sz w:val="20"/>
          <w:szCs w:val="20"/>
          <w:color w:val="auto"/>
        </w:rPr>
      </w:pPr>
    </w:p>
    <w:p>
      <w:pPr>
        <w:ind w:left="660" w:right="4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Commission a registration statement on Form F-3 (No. 333- 287161), including a related prospectus covering the registration of the Offered Shares under the Act. "Registration Statement" at any particular time means such registration statement, in the form then on file with the Commission, including any amendment thereto, all material then incorporated by reference therein (including documents incorporated by reference therein (including, but not limited to, the Company’s Annual Report on Form 20-F for the fiscal year ended December 31, 2025 filed with the Commission pursuant to the Exchange Act on April 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and all 430 Information with respect to such registration statement, that in any case has not then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the Registration Statement as of the Effective Time. A registration statement on Form F-6 (No. 333-252543) relating to the ADSs has been filed with the Commission and has become effective; no stop order suspending the effectiveness of the ADS Registration Statement (as defined below) is in effect, and no proceedings for such purpose or pursuant to Section 8A of the Act are pending before or threatened by the Commission (such registration statement on Form F-6, including all exhibits thereto, as amended at the time such registration statement becomes effective, being hereinafter called the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Company has filed, in accordance with Section 12 of the Exchange Act, a registration statement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 Registration Statement</w:t>
      </w:r>
      <w:r>
        <w:rPr>
          <w:rFonts w:ascii="Times New Roman" w:cs="Times New Roman" w:eastAsia="Times New Roman" w:hAnsi="Times New Roman"/>
          <w:sz w:val="18"/>
          <w:szCs w:val="18"/>
          <w:color w:val="auto"/>
        </w:rPr>
        <w:t>”), on Form 8-A (File No. 001-39997) under the Exchange Act to register, under Section 12(b) of the Exchange Act, the Ordinary Shares and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644"/>
        <w:spacing w:after="0"/>
        <w:rPr>
          <w:sz w:val="20"/>
          <w:szCs w:val="20"/>
          <w:color w:val="auto"/>
        </w:rPr>
      </w:pPr>
      <w:r>
        <w:rPr>
          <w:rFonts w:ascii="Times New Roman" w:cs="Times New Roman" w:eastAsia="Times New Roman" w:hAnsi="Times New Roman"/>
          <w:sz w:val="18"/>
          <w:szCs w:val="18"/>
          <w:color w:val="auto"/>
        </w:rPr>
        <w:t>As of the time of execution and delivery of this Agreement, the Registration Statement has been declared effective under the Act and 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proposed to be amended, and the Exchange Act Registration Statement has become effective, as provided in Section 12 of the Exchange 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stop order suspending the effectiveness of the Registration Statement is in effect, and no proceedings for such purpose or pursuant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8A of the Act are pending before or threatened by the Commission. The Offered Shares all have been or will be duly registered under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 pursuant to the Registration Statement.</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1" w:lineRule="exact"/>
        <w:rPr>
          <w:sz w:val="20"/>
          <w:szCs w:val="20"/>
          <w:color w:val="auto"/>
        </w:rPr>
      </w:pPr>
    </w:p>
    <w:p>
      <w:pPr>
        <w:ind w:left="4"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 Information</w:t>
      </w:r>
      <w:r>
        <w:rPr>
          <w:rFonts w:ascii="Times New Roman" w:cs="Times New Roman" w:eastAsia="Times New Roman" w:hAnsi="Times New Roman"/>
          <w:sz w:val="18"/>
          <w:szCs w:val="18"/>
          <w:color w:val="auto"/>
        </w:rPr>
        <w:t>”, with respect to any registration statement, means information included in a prospectus and retroactively deemed to be a part of such registration statement pursuant to Rule 430A(b), 430B or 430C under the Act.</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United States Securities Act of 1933, as amended.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7:05 a.m. (New York City Time) on the date of this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defined in Section 3 hereof.</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date and time as of which the Registration Statement became effective.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 Information and other final terms of the Offered Shares and otherwise satisfies Section 10(a) of the Act.</w:t>
      </w:r>
    </w:p>
    <w:p>
      <w:pPr>
        <w:spacing w:after="0" w:line="155" w:lineRule="exact"/>
        <w:rPr>
          <w:sz w:val="20"/>
          <w:szCs w:val="20"/>
          <w:color w:val="auto"/>
        </w:rPr>
      </w:pPr>
    </w:p>
    <w:p>
      <w:pPr>
        <w:ind w:left="4"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means any Issuer Free Writing Prospectus that is intended for general distribution to prospective investors (other than a Bona Fide Electronic Road Show (as defined below)), as evidenced by its being so specified in Schedule B to this Agreement.</w:t>
      </w:r>
    </w:p>
    <w:p>
      <w:pPr>
        <w:spacing w:after="0" w:line="171"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Offered Shares in the form filed or required to be filed with the Commission or, if not required to be filed, in the form retained in the Company’s records pursuant to Rule 433(g). The Company has made available a “bona fide electronic road show,” as defined in Rule 433, in compliance with Rule 433(d)(8)</w:t>
      </w:r>
    </w:p>
    <w:p>
      <w:pPr>
        <w:ind w:left="4" w:right="200" w:hanging="4"/>
        <w:spacing w:after="0" w:line="26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Bona Fide Electronic Road Show</w:t>
      </w:r>
      <w:r>
        <w:rPr>
          <w:rFonts w:ascii="Times New Roman" w:cs="Times New Roman" w:eastAsia="Times New Roman" w:hAnsi="Times New Roman"/>
          <w:sz w:val="18"/>
          <w:szCs w:val="18"/>
          <w:color w:val="auto"/>
        </w:rPr>
        <w:t>”) such that no filing of any “road show” (as defined in Rule 433(h)) is required in connection with the offering of the Offered Shares.</w:t>
      </w:r>
    </w:p>
    <w:p>
      <w:pPr>
        <w:spacing w:after="0" w:line="177" w:lineRule="exact"/>
        <w:rPr>
          <w:sz w:val="20"/>
          <w:szCs w:val="20"/>
          <w:color w:val="auto"/>
        </w:rPr>
      </w:pPr>
    </w:p>
    <w:p>
      <w:pPr>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w:t>
      </w:r>
    </w:p>
    <w:p>
      <w:pPr>
        <w:spacing w:after="0" w:line="225" w:lineRule="exact"/>
        <w:rPr>
          <w:sz w:val="20"/>
          <w:szCs w:val="20"/>
          <w:color w:val="auto"/>
        </w:rPr>
      </w:pPr>
    </w:p>
    <w:p>
      <w:pPr>
        <w:ind w:left="4"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Rules and Regulations, the auditing principles, rules, standards and practices applicable to auditors of “issuers” (as defined in Sarbanes-Oxley) promulgated or approved by the Public Company Accounting Oversight Board and the rules of the Nasdaq Global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4"/>
          </w:cols>
          <w:pgMar w:left="976" w:top="904" w:right="39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Statutory Prospectus</w:t>
      </w:r>
      <w:r>
        <w:rPr>
          <w:rFonts w:ascii="Times New Roman" w:cs="Times New Roman" w:eastAsia="Times New Roman" w:hAnsi="Times New Roman"/>
          <w:sz w:val="17"/>
          <w:szCs w:val="17"/>
          <w:color w:val="auto"/>
        </w:rPr>
        <w:t>” with reference to a particular time means the prospectus included in the Registration Statement immediately prior to that time, including any document incorporated by reference therein and any 430 Information with respect to such Registration Statement. For purposes of the foregoing definition, 430 Information shall be considered to be included in the Statutory Prospectus as of the actual time that form of prospectus (including a prospectus supplement) is filed with the Commission pursuant to Rule 424(b) or Rule 462(c) and not retroactively.</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specified, a reference to a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is to the indicated rule under the Act.</w:t>
      </w:r>
    </w:p>
    <w:p>
      <w:pPr>
        <w:spacing w:after="0" w:line="22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Compliance with Securities Act and Exchange Act Requirements.</w:t>
      </w:r>
      <w:r>
        <w:rPr>
          <w:rFonts w:ascii="Times New Roman" w:cs="Times New Roman" w:eastAsia="Times New Roman" w:hAnsi="Times New Roman"/>
          <w:sz w:val="18"/>
          <w:szCs w:val="18"/>
          <w:color w:val="auto"/>
        </w:rPr>
        <w:t xml:space="preserve"> (i) (A) At the time the Registration Statement initially became effective, (B) the time of each amendment thereto for the purposes of complying with Section 10(a)(3) of the Act (whether by post-effective amendment, incorporated report or form of prospectus), (C) at the Effective Time relating to the Offered Shares and (D) on the Closing Date, the Registration Statement and the ADS Registration Statement and any amendment and supplement thereto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(A) on its date, (B) at the time of filing of the Final Prospectus pursuant to Rule 424(b), and (C) on the Closing Date, the Final Prospectus, including all materials incorporated by reference therein (including, but not limited to, the Annual Report), will conform in all material respects to the requirements of the Act and the Rules and Regulations and will not include any untrue statement of a material fact or omit to state any material fact required to be stated therein or necessary to make the statements therein, in the light of the circumstances in which they were made,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furnished by any Underwriter consists of the Underwriter Information as defined in Section 8(c) hereof. All documents incorporated by reference in the Registration Statement and the Final Prospectus, when they became effective or were filed with the Commission, as the case may be, conformed in all material respects to the requirements of the Act or the Exchange Act, as applicable, and the rules and regulations of the Commission thereunder, and any further documents so filed and incorporated by reference in the Registration Statement and the Final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w:t>
      </w:r>
    </w:p>
    <w:p>
      <w:pPr>
        <w:spacing w:after="0" w:line="19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Ineligible Issuer Status.</w:t>
      </w:r>
      <w:r>
        <w:rPr>
          <w:rFonts w:ascii="Times New Roman" w:cs="Times New Roman" w:eastAsia="Times New Roman" w:hAnsi="Times New Roman"/>
          <w:sz w:val="18"/>
          <w:szCs w:val="18"/>
          <w:color w:val="auto"/>
        </w:rPr>
        <w:t xml:space="preserve"> (i) At the time of filing the Registration Statement and any post-effective amendment thereto, (ii) at the earliest time thereafter that the Company or any offering participant made a bona fide offer (within the meaning of Rule 164(h)(2) under the Act) of the Offered Shares and (iii) at the date of this Agreement, the Company was not and is not an “ineligible issuer,” as defined in Rule 405, including (x) the Company or any subsidiary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Shares, all as described in Rule 405 under the Act.</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As of the Applicable Time, neither (i) the General Use Issuer Free Writing Prospectus(es) issued at or prior to the Applicable Time, the preliminary prospectus including the base prospectus, dated April 1, 2026 (which is the most recent Statutory Prospectus distributed to investors generally) and the other information, if any, stated in Schedule B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the written information furnished to the Company by any Underwriter through the Representatives specifically for use therein, it being understood and agreed that the only such information furnished by any Underwriter consists of the Underwriter Information as defined in Section 8(c) hereof.</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0" w:right="359" w:bottom="1440" w:gutter="0" w:footer="0" w:header="0"/>
        </w:sectPr>
      </w:pPr>
    </w:p>
    <w:bookmarkStart w:id="8" w:name="page9"/>
    <w:bookmarkEnd w:id="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Each Issuer Free Writing Prospectus, as of its issue date and at all subsequent times through the completion of the public offer and sale of the Offered Shares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the General Disclosure Package or the Final Prospectus.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 Except for the Issuer Free Writing Prospectuses, if any, identified in Schedule B, and electronic road shows, if any, furnished to the Representatives before first use, the Company has not prepared, used or referred to, and will not, without the prior written consent of the Representatives, prepare, use or refer to, any free writing prospectus. The Company has satisfied and agrees that it will satisfy the conditions in Rule 433 to avoid a requirement to file with the Commission any electronic road show.</w:t>
      </w:r>
    </w:p>
    <w:p>
      <w:pPr>
        <w:spacing w:after="0" w:line="18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Preliminary Prospectuses</w:t>
      </w:r>
      <w:r>
        <w:rPr>
          <w:rFonts w:ascii="Times New Roman" w:cs="Times New Roman" w:eastAsia="Times New Roman" w:hAnsi="Times New Roman"/>
          <w:sz w:val="18"/>
          <w:szCs w:val="18"/>
          <w:color w:val="auto"/>
        </w:rPr>
        <w:t>. Each preliminary prospectus filed as part of the registration statement as originally filed or as part of any amendment thereto, or filed pursuant to Rule 424 under the Act, complied when so filed in all material respects with the Act and the applicable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and no order preventing or suspending the use of any preliminary prospectus has been issued by the Commission.</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i w:val="1"/>
          <w:iCs w:val="1"/>
          <w:color w:val="auto"/>
        </w:rPr>
        <w:t>EGC Status and Testing-the-Waters Communication.</w:t>
      </w:r>
      <w:r>
        <w:rPr>
          <w:rFonts w:ascii="Times New Roman" w:cs="Times New Roman" w:eastAsia="Times New Roman" w:hAnsi="Times New Roman"/>
          <w:sz w:val="18"/>
          <w:szCs w:val="18"/>
          <w:color w:val="auto"/>
        </w:rPr>
        <w:t xml:space="preserve"> (A) The Company is an “emerging growth company,” as defined in Section 2(a) of the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 The Company (i) has not alone engaged in any Testing-the-Waters Communication other than Testing-the-Waters Communications with the consent of the Representatives with entities that are qualified institutional buyers within the meaning of Rule 144A under the Act or institutions that are accredited investors within the meaning of Rule 501 under the Act, and (ii) has not authorized anyone other than the Representatives to engage in Testing-the-Waters Communications. The Company reconfirms that the Representatives have been authorized to act on its behalf in undertaking Testing-the-Waters Communications. "Testing-the-Waters Communication" means any oral or written communication with potential investors undertaken in reliance on Section 5(d) of the Act.</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Good Standing of the Company.</w:t>
      </w:r>
      <w:r>
        <w:rPr>
          <w:rFonts w:ascii="Times New Roman" w:cs="Times New Roman" w:eastAsia="Times New Roman" w:hAnsi="Times New Roman"/>
          <w:sz w:val="18"/>
          <w:szCs w:val="18"/>
          <w:color w:val="auto"/>
        </w:rPr>
        <w:t xml:space="preserve"> The Company has been duly incorporated and is validly existing and in good standing under the laws of the Cayman Islands, with power and authority (corporate and other) to own its properties and conduct its business as described in the Registration Statement, the General Disclosure Package and the Final Prospectus; and the Company is duly qualified to do business as a foreign corporation in good standing in all other jurisdictions in which its ownership or lease of property or the conduct of its business requires such qualification. The currently effective memorandum and articles of association or other constitutive or organizational documents of the Company comply with the requirements of applicable Cayman Islands law and are in full force and effect. Complete and correct copies of all constitutive documents of the Company and all amendments thereto have been delivered to the Representatives; except as set forth in the exhibits to the Registration Statement, no change will be made to any such constitutive documents on or after the date of this Agreement through and including the Closing Date.</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The subsidiaries of the Company shall be referred to hereinafter each as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collectively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Each Subsidiary has been duly incorporated and is validly existing as a corporation with limited liability, as the case may be,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good standing under the laws of the jurisdiction of its incorporation (to the extent such concept exists in such jurisdiction), with full corporate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power and authority to own its properties and conduct its business as described in the Registration Statement, the General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and the Final Prospectus; and, to the extent applicable, each Subsidiary is duly qualified to do business as a foreign corporation in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jurisdictions in which its ownership or lease of property or the conduct of its business requires such qualification, except to the extent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to be so qualified or be in good standing would not have a Material Adverse Effect; the constitutive documents of each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the requirements of applicable laws of the jurisdiction of its incorporation and are in full force and effect. All of the issued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 capital of each Subsidiary has been duly authorized and validly issued and is fully paid in accordance with its articles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and nonassessable, and the capital stock of each Subsidiary owned, directly or indirectly, by the Company, is owned free from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encumbrances and defects. None of the outstanding share capital in any Subsidiary was issued in violation of pre-emptive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of any security holder of such Subsidiary.</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Offered Shares</w:t>
      </w:r>
      <w:r>
        <w:rPr>
          <w:rFonts w:ascii="Times New Roman" w:cs="Times New Roman" w:eastAsia="Times New Roman" w:hAnsi="Times New Roman"/>
          <w:sz w:val="18"/>
          <w:szCs w:val="18"/>
          <w:color w:val="auto"/>
        </w:rPr>
        <w:t>. The Offered Shares and the underlying Ordinary Shares and all other outstanding shares in the share capital of the Company have been duly authorized; the authorized equity capitalization of the Company is as set forth in the Registration Statement, the General Disclosure Package and the Final Prospectus. All outstanding shares in the share capital of the Company are, and, when the Offered Shares and the underlying Ordinary Shares have been delivered and paid for in accordance with this Agreement and the Deposit Agreement, as the case may be, on the Closing Date, such Offered Shares and the underlying Ordinary Shares will have been, validly issued, fully paid and nonassessable, will conform to the descriptions thereof in the Registration Statement, the General Disclosure Package and the Final Prospectus; there are (A) no outstanding securities issued by the Company convertible into or exchangeable for rights, warrants or options to acquire from the Company, or obligations of the Company to issue, Ordinary Shares or any of the share capital of the Company, and (B) no outstanding rights, warrants or options to acquire, or instruments convertible into or exchangeable for, any share capital of, or any direct interest in, any of the Subsidiaries; the shareholders of the Company have no pre-emptive rights with respect to the Offered Shares; none of the outstanding shares in the share capital of the Company have been issued in violation of any pre-emptive or similar rights of any security holder; the Offered Shares and the underlying Ordinary Shares to be sold by the Company, when issued and delivered against payment therefor pursuant to this Agreement, will not be subject to any security interest, other encumbrance or adverse claims, and have been issued in compliance with all federal and state securities laws and were not issued in violation of any pre-emptive right, resale right, right of first refusal or similar right; upon payment of the purchase price in accordance with this Agreement at the Closing Date, the Depositary or its nominee, as the registered holder of the Ordinary Shares represented by the Offered Shares, will be, subject to the terms of the Deposit Agreement, entitled to all the rights of a shareholder conferred by the memorandum and articles of association of the Company as then in effect; except as disclosed in the Registration Statement, the General Disclosure Package and the Final Prospectus and subject to the terms and provisions of the Deposit Agreement, there are no restrictions on transfers of Ordinary Shares represented by the Offered Shares or the Ordinary Shares under the laws of the Cayman Islands or the United States, as the case may be; the Ordinary Shares represented by the Offered Shares may be freely deposited by the Company with the Depositary or its nominee against issuance of ADRs evidencing the Offered Shares as contemplated by the Deposit Agreement.</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 w:name="page11"/>
    <w:bookmarkEnd w:id="10"/>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(xi)            </w:t>
      </w:r>
      <w:r>
        <w:rPr>
          <w:rFonts w:ascii="Times New Roman" w:cs="Times New Roman" w:eastAsia="Times New Roman" w:hAnsi="Times New Roman"/>
          <w:sz w:val="18"/>
          <w:szCs w:val="18"/>
          <w:i w:val="1"/>
          <w:iCs w:val="1"/>
          <w:color w:val="auto"/>
        </w:rPr>
        <w:t>Share Options</w:t>
      </w:r>
      <w:r>
        <w:rPr>
          <w:rFonts w:ascii="Times New Roman" w:cs="Times New Roman" w:eastAsia="Times New Roman" w:hAnsi="Times New Roman"/>
          <w:sz w:val="18"/>
          <w:szCs w:val="18"/>
          <w:color w:val="auto"/>
        </w:rPr>
        <w:t>. With respect to the share options or awards (the “</w:t>
      </w:r>
      <w:r>
        <w:rPr>
          <w:rFonts w:ascii="Times New Roman" w:cs="Times New Roman" w:eastAsia="Times New Roman" w:hAnsi="Times New Roman"/>
          <w:sz w:val="18"/>
          <w:szCs w:val="18"/>
          <w:b w:val="1"/>
          <w:bCs w:val="1"/>
          <w:color w:val="auto"/>
        </w:rPr>
        <w:t>Share Options</w:t>
      </w:r>
      <w:r>
        <w:rPr>
          <w:rFonts w:ascii="Times New Roman" w:cs="Times New Roman" w:eastAsia="Times New Roman" w:hAnsi="Times New Roman"/>
          <w:sz w:val="18"/>
          <w:szCs w:val="18"/>
          <w:color w:val="auto"/>
        </w:rPr>
        <w:t>”) granted pursuant to the share-based compensation plans of the Company (the “</w:t>
      </w:r>
      <w:r>
        <w:rPr>
          <w:rFonts w:ascii="Times New Roman" w:cs="Times New Roman" w:eastAsia="Times New Roman" w:hAnsi="Times New Roman"/>
          <w:sz w:val="18"/>
          <w:szCs w:val="18"/>
          <w:b w:val="1"/>
          <w:bCs w:val="1"/>
          <w:color w:val="auto"/>
        </w:rPr>
        <w:t>Company Share Plans</w:t>
      </w:r>
      <w:r>
        <w:rPr>
          <w:rFonts w:ascii="Times New Roman" w:cs="Times New Roman" w:eastAsia="Times New Roman" w:hAnsi="Times New Roman"/>
          <w:sz w:val="18"/>
          <w:szCs w:val="18"/>
          <w:color w:val="auto"/>
        </w:rPr>
        <w:t>”), (i) each Share Option intended to qualify as an “incentive stock option” under Section 422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so qualifies, (ii) each grant of a Share Option was duly authorized no later than the date on which the grant of such Share Option was by its terms to be effective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(iii) each such grant was made in accordance with the terms of the Company Share Plans, the Exchange Act and all other applicable laws and regulatory rules or requirements, and (iv) each such grant was properly accounted for in accordance with GAAP in the financial statements (including the related notes) of the Company and disclosed in the Company’s filings with the Commission in accordance with the Exchange Act and all other applicable laws.</w:t>
      </w:r>
    </w:p>
    <w:p>
      <w:pPr>
        <w:spacing w:after="0" w:line="18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No Finder’s Fee.</w:t>
      </w:r>
      <w:r>
        <w:rPr>
          <w:rFonts w:ascii="Times New Roman" w:cs="Times New Roman" w:eastAsia="Times New Roman" w:hAnsi="Times New Roman"/>
          <w:sz w:val="18"/>
          <w:szCs w:val="18"/>
          <w:color w:val="auto"/>
        </w:rPr>
        <w:t xml:space="preserve"> There are no contracts, agreements or understandings between the Company or the Subsidiaries and any person that would give rise to a valid claim against the Company or the Subsidiaries or any Underwriter for a brokerage commission, finder’s fee or other like payment in connection with this offering, or any other arrangements, agreements, understandings, payments or issuance with respect to the Company and the Subsidiaries or any of their respective officers, directors, or, to the Company’s knowledge, any of the Company and the Subsidiaries’ respective shareholders, sponsors, partners, employees or affiliates that may affect the Underwriters’ compensation as determined by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(xiii)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xml:space="preserve"> Except as disclosed in the Registration Statement, the General Disclosure Package and the Final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 (collectively,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 xml:space="preserve">”), and any person to whom the Company has granted registration rights has agreed not to exercise such rights until after the expiration of the Lock-Up Period referred to in Section 5(xii) hereof. Each director and officers of the Company has furnished to the Representatives on or prior to the date hereof a letter or letters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Lock-Up Letter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xml:space="preserve"> The ADSs are listed on Nasdaq.</w:t>
      </w:r>
    </w:p>
    <w:p>
      <w:pPr>
        <w:spacing w:after="0" w:line="22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(xv)            </w:t>
      </w:r>
      <w:r>
        <w:rPr>
          <w:rFonts w:ascii="Times New Roman" w:cs="Times New Roman" w:eastAsia="Times New Roman" w:hAnsi="Times New Roman"/>
          <w:sz w:val="17"/>
          <w:szCs w:val="17"/>
          <w:i w:val="1"/>
          <w:iCs w:val="1"/>
          <w:color w:val="auto"/>
        </w:rPr>
        <w:t>Absence of Further Requirements.</w:t>
      </w:r>
      <w:r>
        <w:rPr>
          <w:rFonts w:ascii="Times New Roman" w:cs="Times New Roman" w:eastAsia="Times New Roman" w:hAnsi="Times New Roman"/>
          <w:sz w:val="17"/>
          <w:szCs w:val="17"/>
          <w:color w:val="auto"/>
        </w:rPr>
        <w:t xml:space="preserve"> No consent, approval, authorization, or order of, or filing or registration with, any person (including any governmental agency or body or any court) is required to be obtained or made by the Company for the consummation of the transactions contemplated by this Agreement or the Deposit Agreement in connection with the sale of the Offered Shares, except such as have been obtained, or made on or prior to the Closing Date, and are, or on the Closing Date will be, in full force and effect, including (i) under applicable blue sky laws in any jurisdiction in which the Offered Shares are offered and sold and (ii) under the rules and regulations of the FINRA.</w:t>
      </w:r>
    </w:p>
    <w:p>
      <w:pPr>
        <w:spacing w:after="0" w:line="16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(xvi)            </w:t>
      </w: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The Company and the Subsidiaries have good and marketable title to all properties and assets owned by them, in each case free from liens, charges, encumbrances and defects that would materially affect the value thereof or materially interfere with the use made or to be made thereof by them and, except as disclosed in the Registration Statement, the General Disclosure Package and the Final Prospectus, (i) the Company and the Subsidiaries hold their respective leased real or personal properties under valid and enforceable leases with no terms or provisions that would materially interfere with the use made or to be made thereof by them; and (ii) any real property and buildings held under lease by the Company and the Subsidiaries are held by them under valid, subsisting and enforceable leases with such exceptions as are not material and do not interfere with the use made and to be made thereof by them.</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 w:name="page12"/>
    <w:bookmarkEnd w:id="11"/>
    <w:p>
      <w:pPr>
        <w:ind w:left="4" w:right="20" w:firstLine="648"/>
        <w:spacing w:after="0" w:line="253" w:lineRule="auto"/>
        <w:rPr>
          <w:sz w:val="20"/>
          <w:szCs w:val="20"/>
          <w:color w:val="auto"/>
        </w:rPr>
      </w:pPr>
      <w:r>
        <w:rPr>
          <w:rFonts w:ascii="Times New Roman" w:cs="Times New Roman" w:eastAsia="Times New Roman" w:hAnsi="Times New Roman"/>
          <w:sz w:val="18"/>
          <w:szCs w:val="18"/>
          <w:color w:val="auto"/>
        </w:rPr>
        <w:t>(xvii)            </w:t>
      </w:r>
      <w:r>
        <w:rPr>
          <w:rFonts w:ascii="Times New Roman" w:cs="Times New Roman" w:eastAsia="Times New Roman" w:hAnsi="Times New Roman"/>
          <w:sz w:val="18"/>
          <w:szCs w:val="18"/>
          <w:i w:val="1"/>
          <w:iCs w:val="1"/>
          <w:color w:val="auto"/>
        </w:rPr>
        <w:t>Absence of Defaults and Conflicts Resulting from Transaction.</w:t>
      </w:r>
      <w:r>
        <w:rPr>
          <w:rFonts w:ascii="Times New Roman" w:cs="Times New Roman" w:eastAsia="Times New Roman" w:hAnsi="Times New Roman"/>
          <w:sz w:val="18"/>
          <w:szCs w:val="18"/>
          <w:color w:val="auto"/>
        </w:rPr>
        <w:t xml:space="preserve"> The execution, delivery and performance of this Agreement, the Deposit Agreement and the issuance and sale of the Offered Shares will not (i) conflict with or result in a breach or violation of any of the terms and provisions of, or constitute a default or a Debt Repayment Triggering Event (as defined below) under, or result in the imposition of any lien, charge or encumbrance upon any property or assets of the Company or any of the Subsidiaries pursuant to, the charter or by-laws of the Company or any of the Subsidiaries, any statute, rule, regulation or order of any governmental agency or body or any court, domestic or foreign, having jurisdiction over the Company or any of the Subsidiaries or any of their properties, or any agreement or instrument to which the Company or any of the Subsidiaries is a party or by which the Company or any of the Subsidiaries is bound or to which any of the properties of the Company or any of the Subsidiaries is subject, (ii) result in any violation of the provisions of the articles of association, charter or by-laws or similar organizational documents of the Company or any of the Subsidiaries or (iii) result in the violation of any law or statute or any judgment, order, rule or regulation of any court or arbitrator or governmental or regulatory authority.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187" w:lineRule="exact"/>
        <w:rPr>
          <w:sz w:val="20"/>
          <w:szCs w:val="20"/>
          <w:color w:val="auto"/>
        </w:rPr>
      </w:pPr>
    </w:p>
    <w:p>
      <w:pPr>
        <w:ind w:left="4" w:right="60" w:firstLine="648"/>
        <w:spacing w:after="0" w:line="253" w:lineRule="auto"/>
        <w:rPr>
          <w:sz w:val="20"/>
          <w:szCs w:val="20"/>
          <w:color w:val="auto"/>
        </w:rPr>
      </w:pPr>
      <w:r>
        <w:rPr>
          <w:rFonts w:ascii="Times New Roman" w:cs="Times New Roman" w:eastAsia="Times New Roman" w:hAnsi="Times New Roman"/>
          <w:sz w:val="18"/>
          <w:szCs w:val="18"/>
          <w:color w:val="auto"/>
        </w:rPr>
        <w:t>(xviii)            </w:t>
      </w:r>
      <w:r>
        <w:rPr>
          <w:rFonts w:ascii="Times New Roman" w:cs="Times New Roman" w:eastAsia="Times New Roman" w:hAnsi="Times New Roman"/>
          <w:sz w:val="18"/>
          <w:szCs w:val="18"/>
          <w:i w:val="1"/>
          <w:iCs w:val="1"/>
          <w:color w:val="auto"/>
        </w:rPr>
        <w:t>Absence of Existing Defaults and Conflicts.</w:t>
      </w:r>
      <w:r>
        <w:rPr>
          <w:rFonts w:ascii="Times New Roman" w:cs="Times New Roman" w:eastAsia="Times New Roman" w:hAnsi="Times New Roman"/>
          <w:sz w:val="18"/>
          <w:szCs w:val="18"/>
          <w:color w:val="auto"/>
        </w:rPr>
        <w:t xml:space="preserve"> Neither the Company nor any of the Subsidiaries is (i) in violation of its respective articles of association, charter or by-laws or similar organizational documents, (ii) in violation of or in default in the due performance or observance of any term, covenant or condition contained in any indenture, mortgage, deed of trust, loan agreement or other agreement or instrument, to which the Company or any of the Subsidiaries is a party or by which the Company or any of the Subsidiaries is bound or to which any of the property or assets of the Company or any of the Subsidiaries is subject or (iii) in breach or violation of any provision of applicable law or statute (including any applicable law concerning intellectual property rights and foreign investment in China) or any judgment, order, rule or regulation of any court or arbitrator or governmental or regulatory authority having jurisdiction over the Company or any of the Subsidiaries or any of their properties and assets, except in the case of (ii) and (iii) above, for such breach or violation that would not, individually or in the aggregate, result in a material adverse change or effect, or any development involving a prospective material adverse change or effect, on or affecting the condition (financial or otherwise), results of operations, shareholders’ equity, business, management, properties or prospects of the Company and the Subsidiaries taken as a whole, or on the ability of the Company and the Subsidiaries to carry out their obligations under this Agreement and the Deposit Agreement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firstLine="648"/>
        <w:spacing w:after="0" w:line="225" w:lineRule="exact"/>
        <w:rPr>
          <w:sz w:val="20"/>
          <w:szCs w:val="20"/>
          <w:color w:val="auto"/>
        </w:rPr>
      </w:pPr>
      <w:r>
        <w:rPr>
          <w:rFonts w:ascii="Times New Roman" w:cs="Times New Roman" w:eastAsia="Times New Roman" w:hAnsi="Times New Roman"/>
          <w:sz w:val="18"/>
          <w:szCs w:val="18"/>
          <w:color w:val="auto"/>
        </w:rPr>
        <w:t>(xix)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and delivery by the Company of, and the performance by the Company of its obligations under, this Agreement and the Deposit Agreement will not contravene any provision of applicable law (including but not limited to the Exchange Rules, the Trial Administrative Measures of Overseas Securities Offering and Listing by Domestic Companies (</w:t>
      </w:r>
      <w:r>
        <w:rPr>
          <w:rFonts w:ascii="SimSun" w:cs="SimSun" w:eastAsia="SimSun" w:hAnsi="SimSun"/>
          <w:sz w:val="18"/>
          <w:szCs w:val="18"/>
          <w:color w:val="auto"/>
        </w:rPr>
        <w:t>境内企业境外发行证券和上市管理试行办法</w:t>
      </w:r>
      <w:r>
        <w:rPr>
          <w:rFonts w:ascii="Times New Roman" w:cs="Times New Roman" w:eastAsia="Times New Roman" w:hAnsi="Times New Roman"/>
          <w:sz w:val="18"/>
          <w:szCs w:val="18"/>
          <w:color w:val="auto"/>
        </w:rPr>
        <w:t>) and supporting guidelines issued by the China Securities Regulatory Commission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on February 17, 2023 (as amended, supplemented or otherwise modified from time to time, the “</w:t>
      </w:r>
      <w:r>
        <w:rPr>
          <w:rFonts w:ascii="Times New Roman" w:cs="Times New Roman" w:eastAsia="Times New Roman" w:hAnsi="Times New Roman"/>
          <w:sz w:val="18"/>
          <w:szCs w:val="18"/>
          <w:b w:val="1"/>
          <w:bCs w:val="1"/>
          <w:color w:val="auto"/>
        </w:rPr>
        <w:t>CSRC Filing Rules</w:t>
      </w:r>
      <w:r>
        <w:rPr>
          <w:rFonts w:ascii="Times New Roman" w:cs="Times New Roman" w:eastAsia="Times New Roman" w:hAnsi="Times New Roman"/>
          <w:sz w:val="18"/>
          <w:szCs w:val="18"/>
          <w:color w:val="auto"/>
        </w:rPr>
        <w:t>”) and the Provisions on Strengthening Confidentiality and Archives Administration of Overseas Securities Offering and Listing by Domestic Companies (</w:t>
      </w:r>
      <w:r>
        <w:rPr>
          <w:rFonts w:ascii="SimSun" w:cs="SimSun" w:eastAsia="SimSun" w:hAnsi="SimSun"/>
          <w:sz w:val="18"/>
          <w:szCs w:val="18"/>
          <w:color w:val="auto"/>
        </w:rPr>
        <w:t>关于加强境内企业境外发行证券和上市相关保密和档案管理工 作的规定</w:t>
      </w:r>
      <w:r>
        <w:rPr>
          <w:rFonts w:ascii="Times New Roman" w:cs="Times New Roman" w:eastAsia="Times New Roman" w:hAnsi="Times New Roman"/>
          <w:sz w:val="18"/>
          <w:szCs w:val="18"/>
          <w:color w:val="auto"/>
        </w:rPr>
        <w:t>) issued by the CSRC on February 24, 2023 (as amended, supplemented or otherwise modified from time to time, the “</w:t>
      </w:r>
      <w:r>
        <w:rPr>
          <w:rFonts w:ascii="Times New Roman" w:cs="Times New Roman" w:eastAsia="Times New Roman" w:hAnsi="Times New Roman"/>
          <w:sz w:val="18"/>
          <w:szCs w:val="18"/>
          <w:b w:val="1"/>
          <w:bCs w:val="1"/>
          <w:color w:val="auto"/>
        </w:rPr>
        <w:t>CSRC Archive Rules</w:t>
      </w:r>
      <w:r>
        <w:rPr>
          <w:rFonts w:ascii="Times New Roman" w:cs="Times New Roman" w:eastAsia="Times New Roman" w:hAnsi="Times New Roman"/>
          <w:sz w:val="18"/>
          <w:szCs w:val="18"/>
          <w:color w:val="auto"/>
        </w:rPr>
        <w:t>”, together with the CSRC Filing Rules, the “</w:t>
      </w:r>
      <w:r>
        <w:rPr>
          <w:rFonts w:ascii="Times New Roman" w:cs="Times New Roman" w:eastAsia="Times New Roman" w:hAnsi="Times New Roman"/>
          <w:sz w:val="18"/>
          <w:szCs w:val="18"/>
          <w:b w:val="1"/>
          <w:bCs w:val="1"/>
          <w:color w:val="auto"/>
        </w:rPr>
        <w:t>CSRC Rules</w:t>
      </w:r>
      <w:r>
        <w:rPr>
          <w:rFonts w:ascii="Times New Roman" w:cs="Times New Roman" w:eastAsia="Times New Roman" w:hAnsi="Times New Roman"/>
          <w:sz w:val="18"/>
          <w:szCs w:val="18"/>
          <w:color w:val="auto"/>
        </w:rPr>
        <w:t>”) or the memorandum and articles of incorporation of the Company or any agreement or other instrument binding upon the Company or any of its Subsidiaries or Affiliated Entities that is material to the Company and its Subsidiaries and Affiliated Entities, taken as a whole, or any judgment, order or decree of any Governmental Entity having jurisdiction over the Company or any Subsidiary or affiliate, and no consent, approval, authorization or order of, or qualification with, any Governmental Entity is required for the execution and delivery of this Agreement and the Deposit Agreement and the performance by the Company of its obligations under this Agreement and the Deposit Agreement, except (i) a post-closing filing with respect to the Offered Shares with the CSRC to be made within three (3) business days in the PRC after the Closing Date (the “</w:t>
      </w:r>
      <w:r>
        <w:rPr>
          <w:rFonts w:ascii="Times New Roman" w:cs="Times New Roman" w:eastAsia="Times New Roman" w:hAnsi="Times New Roman"/>
          <w:sz w:val="18"/>
          <w:szCs w:val="18"/>
          <w:b w:val="1"/>
          <w:bCs w:val="1"/>
          <w:color w:val="auto"/>
        </w:rPr>
        <w:t>Post-Closing CSRC Filing Report</w:t>
      </w:r>
      <w:r>
        <w:rPr>
          <w:rFonts w:ascii="Times New Roman" w:cs="Times New Roman" w:eastAsia="Times New Roman" w:hAnsi="Times New Roman"/>
          <w:sz w:val="18"/>
          <w:szCs w:val="18"/>
          <w:color w:val="auto"/>
        </w:rPr>
        <w:t>”) and</w:t>
      </w:r>
    </w:p>
    <w:p>
      <w:pPr>
        <w:spacing w:after="0" w:line="10" w:lineRule="exact"/>
        <w:rPr>
          <w:sz w:val="20"/>
          <w:szCs w:val="20"/>
          <w:color w:val="auto"/>
        </w:rPr>
      </w:pPr>
    </w:p>
    <w:p>
      <w:pPr>
        <w:ind w:left="4" w:right="760" w:hanging="4"/>
        <w:spacing w:after="0" w:line="26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 may be required by the securities or Blue Sky laws of the various states of the United States of America or the relevant stock exchanges in connection with the offer and sale of the Securities.</w:t>
      </w: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2" w:name="page13"/>
    <w:bookmarkEnd w:id="12"/>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i w:val="1"/>
          <w:iCs w:val="1"/>
          <w:color w:val="auto"/>
        </w:rPr>
        <w:t>Authorization of this Agreement.</w:t>
      </w:r>
      <w:r>
        <w:rPr>
          <w:rFonts w:ascii="Times New Roman" w:cs="Times New Roman" w:eastAsia="Times New Roman" w:hAnsi="Times New Roman"/>
          <w:sz w:val="18"/>
          <w:szCs w:val="18"/>
          <w:color w:val="auto"/>
        </w:rPr>
        <w:t xml:space="preserve"> This Agreement has been duly authorized, executed and delivered by the Company and constitutes valid and legally binding obligations of the Company. The description of this Agreement contained in the Registration Statement, the General Disclosure Package and the Final Prospectus is true and accurate in all material respects.</w:t>
      </w:r>
    </w:p>
    <w:p>
      <w:pPr>
        <w:spacing w:after="0" w:line="173"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color w:val="auto"/>
        </w:rPr>
        <w:t>(xxi)             </w:t>
      </w:r>
      <w:r>
        <w:rPr>
          <w:rFonts w:ascii="Times New Roman" w:cs="Times New Roman" w:eastAsia="Times New Roman" w:hAnsi="Times New Roman"/>
          <w:sz w:val="18"/>
          <w:szCs w:val="18"/>
          <w:i w:val="1"/>
          <w:iCs w:val="1"/>
          <w:color w:val="auto"/>
        </w:rPr>
        <w:t>Authorization of the Deposit Agreement.</w:t>
      </w:r>
      <w:r>
        <w:rPr>
          <w:rFonts w:ascii="Times New Roman" w:cs="Times New Roman" w:eastAsia="Times New Roman" w:hAnsi="Times New Roman"/>
          <w:sz w:val="18"/>
          <w:szCs w:val="18"/>
          <w:color w:val="auto"/>
        </w:rPr>
        <w:t xml:space="preserve"> The Deposit Agreement has been duly authorized, executed and delivered by the Company and assuming due authorization, execution and delivery by the Depositary, constitutes a valid and legally binding obligation of the Company, enforceable in accordance with its terms, subject, as to enforceability, to bankruptcy, insolvency, fraudulent transfer, reorganization, moratorium and similar laws of general applicability relating to or affecting creditors’ rights and to general equity principles. The description of the Deposit Agreement contained in the Registration Statement, the General Disclosure Package and the Final Prospectus is true and accurate in all material respects.</w:t>
      </w:r>
    </w:p>
    <w:p>
      <w:pPr>
        <w:spacing w:after="0" w:line="18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(xxii)            </w:t>
      </w:r>
      <w:r>
        <w:rPr>
          <w:rFonts w:ascii="Times New Roman" w:cs="Times New Roman" w:eastAsia="Times New Roman" w:hAnsi="Times New Roman"/>
          <w:sz w:val="18"/>
          <w:szCs w:val="18"/>
          <w:i w:val="1"/>
          <w:iCs w:val="1"/>
          <w:color w:val="auto"/>
        </w:rPr>
        <w:t>Authorization of Registration Statements.</w:t>
      </w:r>
      <w:r>
        <w:rPr>
          <w:rFonts w:ascii="Times New Roman" w:cs="Times New Roman" w:eastAsia="Times New Roman" w:hAnsi="Times New Roman"/>
          <w:sz w:val="18"/>
          <w:szCs w:val="18"/>
          <w:color w:val="auto"/>
        </w:rPr>
        <w:t xml:space="preserve"> The Registration Statement, the General Disclosure Package, the Final Prospectus and the ADS Registration Statement and the filing of the Registration Statement, the General Disclosure Package, the Final Prospectus and the ADS Registration Statement with the Commission have each been duly authorized by and on behalf of the Company, and each of the Registration Statement and the ADS Registration Statement has been duly executed pursuant to such authorization by and on behalf of the Company.</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(xxiii)            </w:t>
      </w: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xml:space="preserve"> Except as disclosed in the Registration Statement, the General Disclosure Package and the Final Prospectus, (i) the Company and the Subsidiaries possess, and are in compliance with the terms of, all licenses, sub-licenses, certificates, approvals, clearances, permits, exemptions and other authorizations, including any supplements or amendments thereto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issued by, and have made all declarations and filings with,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and China National Medical Product Administration (“</w:t>
      </w:r>
      <w:r>
        <w:rPr>
          <w:rFonts w:ascii="Times New Roman" w:cs="Times New Roman" w:eastAsia="Times New Roman" w:hAnsi="Times New Roman"/>
          <w:sz w:val="18"/>
          <w:szCs w:val="18"/>
          <w:b w:val="1"/>
          <w:bCs w:val="1"/>
          <w:color w:val="auto"/>
        </w:rPr>
        <w:t>NMPA</w:t>
      </w:r>
      <w:r>
        <w:rPr>
          <w:rFonts w:ascii="Times New Roman" w:cs="Times New Roman" w:eastAsia="Times New Roman" w:hAnsi="Times New Roman"/>
          <w:sz w:val="18"/>
          <w:szCs w:val="18"/>
          <w:color w:val="auto"/>
        </w:rPr>
        <w:t>”) and the Australian Therapeutic Goods Administration that are necessary for the conduct of their respective businesses as described in the Registration Statement, the General Disclosure Package and the Final Prospectus, (ii) the Company and the Subsidiaries possess, and are in compliance with the terms of all other Licenses required by, and have made all declarations and filings with, the appropriate national, regional, local or other governmental or regulatory authorities that are necessary for the ownership or lease of their respective properties or the conduct of their respective businesses as described in the Registration Statement, the General Disclosure Package and the Final Prospectus, except in the case of (ii) only for such failure to possess, comply, declare or file that would not, individually or in the aggregate, have a Material Adverse Effect ;(iii) neither the Company nor any of its Subsidiaries has received any notice of proceedings relating to or has any reason to believe that any government or regulatory authority is considering the revocation, suspension, rescission, avoidance, repudiation, withdrawal, non-renewal or modification, in whole or in part, of any Licenses that, if determined adversely to the Company or any of the Subsidiaries, would individually or in the aggregate have a Material Adverse Effect; (iv) neither the Company nor any of the Subsidiaries has any reason to believe that any such Licenses will not be renewed in the ordinary course, except for such failure to renew that would not, individually or in the aggregate, have a Material Adverse Effect and (v)such Licenses are valid and in full force and effect and contain no materially burdensome restrictions or conditions not described in the Registration Statement, the General Disclosure Package or the Final Prospectus. The Company and the Subsidiaries (i) are in compliance in all material respects with all statutes, rules and regulations applicable to the ownership, testing, development, or disposal of any product in development by the Company or its Subsidiaries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(ii) except as described in the Registration Statement, the General Disclosure Package and the Final Prospectus, have not received any FDA and NMPA notices or forms; and (iii) have not received any written notice of adverse finding, warning letter, untitled letter or other correspondence or written notice from any court or arbitrator or governmental or regulatory authority alleging or asserting non-compliance with (x) any Applicable Laws or (y) any Licenses required by any such Applicable Laws.</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13" w:name="page14"/>
    <w:bookmarkEnd w:id="13"/>
    <w:p>
      <w:pPr>
        <w:ind w:left="4" w:right="220" w:firstLine="648"/>
        <w:spacing w:after="0" w:line="258" w:lineRule="auto"/>
        <w:rPr>
          <w:sz w:val="20"/>
          <w:szCs w:val="20"/>
          <w:color w:val="auto"/>
        </w:rPr>
      </w:pPr>
      <w:r>
        <w:rPr>
          <w:rFonts w:ascii="Times New Roman" w:cs="Times New Roman" w:eastAsia="Times New Roman" w:hAnsi="Times New Roman"/>
          <w:sz w:val="18"/>
          <w:szCs w:val="18"/>
          <w:color w:val="auto"/>
        </w:rPr>
        <w:t>(xxiv)            </w:t>
      </w:r>
      <w:r>
        <w:rPr>
          <w:rFonts w:ascii="Times New Roman" w:cs="Times New Roman" w:eastAsia="Times New Roman" w:hAnsi="Times New Roman"/>
          <w:sz w:val="18"/>
          <w:szCs w:val="18"/>
          <w:i w:val="1"/>
          <w:iCs w:val="1"/>
          <w:color w:val="auto"/>
        </w:rPr>
        <w:t>Termination of Contracts.</w:t>
      </w:r>
      <w:r>
        <w:rPr>
          <w:rFonts w:ascii="Times New Roman" w:cs="Times New Roman" w:eastAsia="Times New Roman" w:hAnsi="Times New Roman"/>
          <w:sz w:val="18"/>
          <w:szCs w:val="18"/>
          <w:color w:val="auto"/>
        </w:rPr>
        <w:t xml:space="preserve"> (i) Neither the Company nor any of the Subsidiaries has sent or received any communication regarding termination of, or intent not to renew, any of the contracts or agreements referred to or described in the Registration Statement, the General Disclosure Package and the Final Prospectus or filed as an exhibit to the Registration Statement, and (ii) no such termination or non-renewal has been threatened by the Company or any of the Subsidiaries or by any other party to any such contract or agreement, except, in each case of (i) and (ii), where such termination or non-renewal would not reasonably be expected to have a Material Adverse Effect.</w:t>
      </w:r>
    </w:p>
    <w:p>
      <w:pPr>
        <w:spacing w:after="0" w:line="183" w:lineRule="exact"/>
        <w:rPr>
          <w:sz w:val="20"/>
          <w:szCs w:val="20"/>
          <w:color w:val="auto"/>
        </w:rPr>
      </w:pPr>
    </w:p>
    <w:p>
      <w:pPr>
        <w:ind w:left="4" w:right="60" w:firstLine="648"/>
        <w:spacing w:after="0" w:line="257" w:lineRule="auto"/>
        <w:rPr>
          <w:sz w:val="20"/>
          <w:szCs w:val="20"/>
          <w:color w:val="auto"/>
        </w:rPr>
      </w:pPr>
      <w:r>
        <w:rPr>
          <w:rFonts w:ascii="Times New Roman" w:cs="Times New Roman" w:eastAsia="Times New Roman" w:hAnsi="Times New Roman"/>
          <w:sz w:val="18"/>
          <w:szCs w:val="18"/>
          <w:color w:val="auto"/>
        </w:rPr>
        <w:t>(xxv)            </w:t>
      </w:r>
      <w:r>
        <w:rPr>
          <w:rFonts w:ascii="Times New Roman" w:cs="Times New Roman" w:eastAsia="Times New Roman" w:hAnsi="Times New Roman"/>
          <w:sz w:val="18"/>
          <w:szCs w:val="18"/>
          <w:i w:val="1"/>
          <w:iCs w:val="1"/>
          <w:color w:val="auto"/>
        </w:rPr>
        <w:t>Absence of Labor Dispute; Compliance with Labor Law.</w:t>
      </w:r>
      <w:r>
        <w:rPr>
          <w:rFonts w:ascii="Times New Roman" w:cs="Times New Roman" w:eastAsia="Times New Roman" w:hAnsi="Times New Roman"/>
          <w:sz w:val="18"/>
          <w:szCs w:val="18"/>
          <w:color w:val="auto"/>
        </w:rPr>
        <w:t xml:space="preserve"> No labor dispute with the employees or third-party contractors of the Company or any of the Subsidiaries exists or, to the knowledge of the Company, is threatened and the Company is not aware of any existing, threatened or imminent labor disturbance by the employees of any of the principal suppliers, service providers or business partners of the Company and the Subsidiaries that could have a Material Adverse Effect. The Company and the Subsidiaries are and have been at all times in compliance with all applicable labor laws and regulations in all material respects, and no material governmental investigation or proceedings with respect to labor law compliance exists or, to the Company’s knowledge, is imminent.</w:t>
      </w:r>
    </w:p>
    <w:p>
      <w:pPr>
        <w:spacing w:after="0" w:line="182" w:lineRule="exact"/>
        <w:rPr>
          <w:sz w:val="20"/>
          <w:szCs w:val="20"/>
          <w:color w:val="auto"/>
        </w:rPr>
      </w:pPr>
    </w:p>
    <w:p>
      <w:pPr>
        <w:ind w:left="4" w:right="40" w:firstLine="648"/>
        <w:spacing w:after="0" w:line="268" w:lineRule="auto"/>
        <w:rPr>
          <w:sz w:val="20"/>
          <w:szCs w:val="20"/>
          <w:color w:val="auto"/>
        </w:rPr>
      </w:pPr>
      <w:r>
        <w:rPr>
          <w:rFonts w:ascii="Times New Roman" w:cs="Times New Roman" w:eastAsia="Times New Roman" w:hAnsi="Times New Roman"/>
          <w:sz w:val="17"/>
          <w:szCs w:val="17"/>
          <w:color w:val="auto"/>
        </w:rPr>
        <w:t>(xxvi)            </w:t>
      </w:r>
      <w:r>
        <w:rPr>
          <w:rFonts w:ascii="Times New Roman" w:cs="Times New Roman" w:eastAsia="Times New Roman" w:hAnsi="Times New Roman"/>
          <w:sz w:val="17"/>
          <w:szCs w:val="17"/>
          <w:i w:val="1"/>
          <w:iCs w:val="1"/>
          <w:color w:val="auto"/>
        </w:rPr>
        <w:t>Possession of Intellectual Property.</w:t>
      </w:r>
      <w:r>
        <w:rPr>
          <w:rFonts w:ascii="Times New Roman" w:cs="Times New Roman" w:eastAsia="Times New Roman" w:hAnsi="Times New Roman"/>
          <w:sz w:val="17"/>
          <w:szCs w:val="17"/>
          <w:color w:val="auto"/>
        </w:rPr>
        <w:t xml:space="preserve"> The Company and the Subsidiaries own or possess rights to use trademarks, trade names, patent rights, copyrights, domain names, licenses, approvals, trade secrets, inventions, technology, know-how and other intellectual property and similar rights, including registrations and applications for registration thereof (collectively,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that are necessary or material to the conduct of the business now conducted or proposed in the Registration Statement, the General Disclosure Package and the Final Prospectus to be conducted by them, and the expected expiration of any such Intellectual Property Rights would not, individually or in the aggregate, have a Material Adverse Effect. Except as described in the Registration Statement, the General Disclosure Package and the Final Prospectus, the Company is the sole owner of the Intellectual Property Rights owned by it and has the valid and enforceable right to use the Intellectual Property Rights without the obligation to obtain consent to sublicense and without a duty of accounting to the co-owner, as applicable.</w:t>
      </w:r>
    </w:p>
    <w:p>
      <w:pPr>
        <w:spacing w:after="0" w:line="2" w:lineRule="exact"/>
        <w:rPr>
          <w:sz w:val="20"/>
          <w:szCs w:val="20"/>
          <w:color w:val="auto"/>
        </w:rPr>
      </w:pPr>
    </w:p>
    <w:p>
      <w:pPr>
        <w:ind w:left="4" w:right="100" w:hanging="4"/>
        <w:spacing w:after="0" w:line="265"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the Registration Statement, the General Disclosure Package and the Final Prospectus, there are no rights of third parties to any of the Intellectual Property Rights owned by the Company or the Subsidiaries and the Company has taken reasonable steps necessary to secure assignments to its title, rights and interests in the Intellectual Property Rights from its employees, consultants, agents and contractors;</w:t>
      </w:r>
    </w:p>
    <w:p>
      <w:pPr>
        <w:ind w:left="4" w:hanging="4"/>
        <w:spacing w:after="0" w:line="25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infringement, misappropriation, breach, default or other violation, or the occurrence of any event that with notice or the passage of time would constitute any of the foregoing, by the Company, the Subsidiaries or to the knowledge of the Company, third parties of any of the Intellectual Property Rights of the Company or the Subsidiaries; (iii) there is no pending, threatened or notice of action, suit, proceeding or claim by others challenging the Company’s or any Subsidiary’s rights in or to, or the violation of any of the terms of, any of their Intellectual Property Rights, and the Company is unaware of any facts which would form a reasonable basis for any such claim; (iv) there is no pending, threatened or notice of action, suit, proceeding or claim by others challenging the validity, enforceability or scope of any such Intellectual Property Rights, and the Company is unaware of any facts which would form a reasonable basis for any such claim; (v) there is no pending, threatened or notice of action, suit, proceeding or claim by others that the Company or any Subsidiary infringes, misappropriates or otherwise violates or conflicts with, or would, upon the manufacturing or commercialization of any product or service described in the Registration Statement, the General Disclosure Package and the Final Prospectus as under development, infringe, misappropriate or violate, any Intellectual Property Rights or other proprietary rights of others and the Company is unaware of any other fact which would form a reasonable basis for any such claim; (vi) none of the Intellectual Property Rights used by the Company or the Subsidiaries in their businesses has been obtained or is being used by the Company or the Subsidiaries in violation of any contractual obligation binding on the Company, or the Subsidiaries, or in violation of the rights of any persons;</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3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unaware of any facts which it believes would form a reasonable basis for a successful challenge that any of the employees it currently employs are in or have ever been in material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the Subsidiaries, or actions undertaken by the employee while employed with the Company or the Subsidiaries; (viii) except as described in the Registration Statement, the General Disclosure Package and the Final Prospectus, neither the Company nor any of the Subsidiaries are under an obligation to assign any of their rights in their patents and patent applications to a third party; (ix) the Company and the Subsidiaries are not in breach of, and have complied in all respects with all terms of, any license or other agreement relating to Intellectual Property Rights and all such agreements are in full force and effect; and (x) the business of the Company and the Subsidiaries are conducted in compliance with the applicable intellectual property laws and regulations in the PRC and all other applicable jurisdictions in all respects; except in each case of (i) to (x) as would not, individually or in the aggregate, result in a Material Adverse Effect. The product candidates described in the Registration Statement, the General Disclosure Package and the Final Prospectus as under development by the Company fall within the scope of the claims of one or more patents or patent applications owned by, or exclusively licensed to, the Company. Except as described in the Registration Statement, the General Disclosure Package and the Final Prospectus, no government funding, facilities or resources of a university, college, other educational institution or research center was used in the development of any Intellectual Property Rights that is owned or purported to be owned by the Company that would confer upon any governmental agency or body, university, college, other educational institution or research center any claim or right of ownership to any such Intellectual Property Rights.</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4" w:name="page15"/>
    <w:bookmarkEnd w:id="14"/>
    <w:p>
      <w:pPr>
        <w:ind w:firstLine="648"/>
        <w:spacing w:after="0" w:line="254" w:lineRule="auto"/>
        <w:rPr>
          <w:sz w:val="20"/>
          <w:szCs w:val="20"/>
          <w:color w:val="auto"/>
        </w:rPr>
      </w:pPr>
      <w:r>
        <w:rPr>
          <w:rFonts w:ascii="Times New Roman" w:cs="Times New Roman" w:eastAsia="Times New Roman" w:hAnsi="Times New Roman"/>
          <w:sz w:val="18"/>
          <w:szCs w:val="18"/>
          <w:color w:val="auto"/>
        </w:rPr>
        <w:t>(xxvii)            </w:t>
      </w:r>
      <w:r>
        <w:rPr>
          <w:rFonts w:ascii="Times New Roman" w:cs="Times New Roman" w:eastAsia="Times New Roman" w:hAnsi="Times New Roman"/>
          <w:sz w:val="18"/>
          <w:szCs w:val="18"/>
          <w:i w:val="1"/>
          <w:iCs w:val="1"/>
          <w:color w:val="auto"/>
        </w:rPr>
        <w:t>Patents and Patent Applications</w:t>
      </w:r>
      <w:r>
        <w:rPr>
          <w:rFonts w:ascii="Times New Roman" w:cs="Times New Roman" w:eastAsia="Times New Roman" w:hAnsi="Times New Roman"/>
          <w:sz w:val="18"/>
          <w:szCs w:val="18"/>
          <w:color w:val="auto"/>
        </w:rPr>
        <w:t>. All patents and patent applications owned by or exclusively licensed to the Company or under which the Company has rights have, to the knowledge of the Company, been duly and properly filed and each issued patent is being diligently maintained and are valid and enforceable and the Company is unaware of any facts that would preclude the issuance of a valid and enforceable patent on any pending patent application included in the Intellectual Property Rights; and to the knowledge of the Company, the Company and the parties prosecuting such applications have complied with their duty of candor and disclosure to the U.S. Patent and Trademark Office (“USPTO”) in connection with such patents and patent applications for which it has filing, prosecution, and/or maintenance responsibilities. The Company is not aware of any prior art or public or commercial activity or other facts required to be disclosed to the USPTO or the patent authority of any other jurisdiction that were not disclosed to the applicable patent authority and which would preclude the grant of a patent in connection with any such application or would reasonably be expected to form the basis of a finding of invalidity or unenforceability with respect to any patents that have been issued with respect to such applications.</w:t>
      </w:r>
    </w:p>
    <w:p>
      <w:pPr>
        <w:spacing w:after="0" w:line="18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(xxviii)            </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xml:space="preserve"> (a)(i) Neither the Company nor any of the Subsidiaries is in violation of, or has any liability under, any applicable U.S. federal, state, local or non-U.S. statute, law, rule, regulation, ordinance, code, other requirement or rule of law (including common law), or decision or order of any domestic or foreign governmental agency, governmental body or court, relating to pollution, to the use, handling, transportation, treatment, storage, discharge, disposal or release of Hazardous Substances, to the protection or restoration of the environment or natural resources (including biota), to health and safety including as such relates to exposure to Hazardous Substances, and to natural resource damages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neither the Company nor any of the Subsidiaries owns, occupies, operates or uses any real property contaminated with Hazardous Substances, (iii) neither the Company nor any of the Subsidiaries is conducting or funding any investigation, remediation, remedial action or monitoring of actual or suspected Hazardous Substances in the environment, (iv) neither the Company nor any of the Subsidiaries is liable or allegedly liable for any release or threatened release of Hazardous Substances, including at any off-site treatment, storage or disposal site, (v) neither the Company nor any of the Subsidiaries is subject to any claim by any governmental agency or governmental body or person relating to Environmental Laws or Hazardous Substances, (vi) the Company and the Subsidiaries have received and are in compliance with the terms and conditions of all, and have no liability under any permits, licenses, authorizations, identification numbers or other approvals required under applicable Environmental Laws to conduct their respective businesses, except for such failure to comply or liability that would not, individually or in the aggregate, have a Material Adverse Effect and (vii)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in each case covered by clauses (i) – (vi) such as would not individually or in the aggregate have a Material Adverse Effect; (b) to the knowledge of the Company, there are no facts or circumstances that would reasonably be expected to result in a violation of, liability under, or claim pursuant to any Environmental Law that would, individually or in the aggregate, have a Material Adverse Effect; (c) to the knowledge of the Company, there are no requirements proposed for adoption or implementation under any Environmental Law that would reasonably be expected to have a Material Adverse Effect; and (d) in the ordinary course of its business, the Company periodically evaluates the effect, including associated costs and liabilities, of Environmental Laws on the business, properties, results of operations and financial condition of it and the Subsidiaries, and, on the basis of such evaluation, the Company has reasonably concluded that such Environmental Laws will not, individually or in the aggregate, have a Material Adverse Effect. For purposes of this subsection, “</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and mold, and (B) any other chemical, material or substance defined or regulated as toxic or hazardous or as a pollutant, contaminant or waste under Environmental Laws.</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5" w:name="page16"/>
    <w:bookmarkEnd w:id="15"/>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(xxix)           </w:t>
      </w:r>
      <w:r>
        <w:rPr>
          <w:rFonts w:ascii="Times New Roman" w:cs="Times New Roman" w:eastAsia="Times New Roman" w:hAnsi="Times New Roman"/>
          <w:sz w:val="18"/>
          <w:szCs w:val="18"/>
          <w:i w:val="1"/>
          <w:iCs w:val="1"/>
          <w:color w:val="auto"/>
        </w:rPr>
        <w:t>Accurate Disclosure.</w:t>
      </w:r>
      <w:r>
        <w:rPr>
          <w:rFonts w:ascii="Times New Roman" w:cs="Times New Roman" w:eastAsia="Times New Roman" w:hAnsi="Times New Roman"/>
          <w:sz w:val="18"/>
          <w:szCs w:val="18"/>
          <w:color w:val="auto"/>
        </w:rPr>
        <w:t xml:space="preserve"> The statements in the Registration Statement, the General Disclosure Package and the Final Prospectus under the headings “Prospectus Summary,” “Risk Factors,” “Use of Proceeds,” “Dividend Policy,” “Management’s Discussion and Analysis of Financial Condition and Results of Operations,” “Business Overview,” “Information on the Company – Regulation,” “Directors and Senior Management,” “Major Shareholders and Related Party Transactions,” “Memorandum and Articles of Association,” “Description of American Depositary Shares,” “Shares Eligible For Future Sale,” “Taxation” and “Underwriting”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(xxx)            </w:t>
      </w: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None of the Company, the Subsidiaries nor their respective affiliates, as such term is defined in Rule 501(b) under the Act, has taken, directly or indirectly, any action that is designed to or that has constituted or that would reasonably be expected to cause or result in the stabilization or manipulation of the price of any security of the Company to facilitate the sale or resale of the Offered Shares.</w:t>
      </w:r>
    </w:p>
    <w:p>
      <w:pPr>
        <w:spacing w:after="0" w:line="180"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(xxxi)           </w:t>
      </w:r>
      <w:r>
        <w:rPr>
          <w:rFonts w:ascii="Times New Roman" w:cs="Times New Roman" w:eastAsia="Times New Roman" w:hAnsi="Times New Roman"/>
          <w:sz w:val="18"/>
          <w:szCs w:val="18"/>
          <w:i w:val="1"/>
          <w:iCs w:val="1"/>
          <w:color w:val="auto"/>
        </w:rPr>
        <w:t>Operating and Other Company Data.</w:t>
      </w:r>
      <w:r>
        <w:rPr>
          <w:rFonts w:ascii="Times New Roman" w:cs="Times New Roman" w:eastAsia="Times New Roman" w:hAnsi="Times New Roman"/>
          <w:sz w:val="18"/>
          <w:szCs w:val="18"/>
          <w:color w:val="auto"/>
        </w:rPr>
        <w:t xml:space="preserve"> All operating and other Company data disclosed in the Registration Statement, the General Disclosure Package and the Final Prospectus are true and accurate in all material respects.</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(xxxii)          </w:t>
      </w:r>
      <w:r>
        <w:rPr>
          <w:rFonts w:ascii="Times New Roman" w:cs="Times New Roman" w:eastAsia="Times New Roman" w:hAnsi="Times New Roman"/>
          <w:sz w:val="18"/>
          <w:szCs w:val="18"/>
          <w:i w:val="1"/>
          <w:iCs w:val="1"/>
          <w:color w:val="auto"/>
        </w:rPr>
        <w:t>Statistical and Market-Related Data.</w:t>
      </w:r>
      <w:r>
        <w:rPr>
          <w:rFonts w:ascii="Times New Roman" w:cs="Times New Roman" w:eastAsia="Times New Roman" w:hAnsi="Times New Roman"/>
          <w:sz w:val="18"/>
          <w:szCs w:val="18"/>
          <w:color w:val="auto"/>
        </w:rPr>
        <w:t xml:space="preserve"> Any third-party statistical and market-related data included in the Registration Statement, the General Disclosure Package and the Final Prospectus are based on or derived from sources that the Company in good faith believes to be reliable and accurate, and such data agree with the sources from which they are derived, and the Company has obtained the written consent for the use of such data from such sources to the extent required.</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(xxxiii)         </w:t>
      </w:r>
      <w:r>
        <w:rPr>
          <w:rFonts w:ascii="Times New Roman" w:cs="Times New Roman" w:eastAsia="Times New Roman" w:hAnsi="Times New Roman"/>
          <w:sz w:val="18"/>
          <w:szCs w:val="18"/>
          <w:i w:val="1"/>
          <w:iCs w:val="1"/>
          <w:color w:val="auto"/>
        </w:rPr>
        <w:t>Internal Controls and Compliance with the Sarbanes-Oxley Act.</w:t>
      </w:r>
      <w:r>
        <w:rPr>
          <w:rFonts w:ascii="Times New Roman" w:cs="Times New Roman" w:eastAsia="Times New Roman" w:hAnsi="Times New Roman"/>
          <w:sz w:val="18"/>
          <w:szCs w:val="18"/>
          <w:color w:val="auto"/>
        </w:rPr>
        <w:t xml:space="preserve"> The Company, the Subsidiaries and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Sarbanes-Oxley and all applicable Exchange Rules. The Company and the Subsidiaries maintain a system of internal controls, including, but not limited to, disclosure controls and procedures (as such term is defined in Rule 13a-15(e) under the Exchange Act) that comply with the requirements of the Exchange Act, internal controls over accounting matters and financial reporting, an internal audit function and legal and 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that comply with the Securities Laws and the Exchange Act and are sufficient to provide reasonable assurances that (i) transactions are executed in accordance with management’s general or specific authorizations, (ii) transactions are recorded as necessary to permit preparation of financial statements in conformity with the generally accepted accounting principles in the United States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(v) material information relating to the Company and the Subsidiaries is made known to the Company’s chief executive officer and chief financial officer by others within those entities, (vi) each of the Company and the Subsidiaries has made and kept books, records and accounts which, in reasonable detail, accurately and fairly reflect the transactions of such entity and provide a sufficient basis for the preparation of financial statements in conformity with the generally accepted accounting policies in the United States and (vii) the directors of the Company are able to make a proper assessment of the financial position and prospects of the Company and the Subsidiaries, and such internal accounting and financial reporting controls are effective to perform the functions for which they were established, are documented properly and the implementation of such internal accounting and financial reporting controls are monitored by the responsible persons. The Internal Controls are overseen by the Audit Committee (the "Audit Committee") of the Board in accordance with Exchange Rules. The Company has carried out evaluations of the effectiveness of their disclosure controls and procedures as required by Rule 13a-15 of the Exchange Act. There are no material weaknesses or significant deficiencies in the Company's internal controls. The Company has not publicly disclosed or reported to the Audit Committee or the Board, and within the next 135 days the Company does not reasonably expect to publicly disclose or report to the Audit Committee or the Board, a significant deficiency, material weakness, change in Internal Controls or fraud involving management or other employees who have a significant role in Internal Controls (each, an “</w:t>
      </w:r>
      <w:r>
        <w:rPr>
          <w:rFonts w:ascii="Times New Roman" w:cs="Times New Roman" w:eastAsia="Times New Roman" w:hAnsi="Times New Roman"/>
          <w:sz w:val="18"/>
          <w:szCs w:val="18"/>
          <w:b w:val="1"/>
          <w:b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any violation of, or failure to comply with, the Securities Laws, or any matter which, if determined adversely, would have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Since the end of the Company’s latest audited consolidated financial statements included in the Registration Statement, the General Disclosure Package and the Final Prospectus,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or fraud, whether or not material, involving management or other employees who have a role in the Company’s control over financial reporting. Each of the Company’s independent directors meets the criteria for “independence” under the Sarbanes-Oxley Act, the rules and regulations of the Commission and all applicable Exchange Rules.</w:t>
      </w:r>
    </w:p>
    <w:p>
      <w:pPr>
        <w:spacing w:after="0" w:line="200" w:lineRule="exact"/>
        <w:rPr>
          <w:sz w:val="20"/>
          <w:szCs w:val="20"/>
          <w:color w:val="auto"/>
        </w:rPr>
      </w:pPr>
    </w:p>
    <w:p>
      <w:pPr>
        <w:spacing w:after="0" w:line="2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6" w:name="page17"/>
    <w:bookmarkEnd w:id="16"/>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(xxxiv)          </w:t>
      </w:r>
      <w:r>
        <w:rPr>
          <w:rFonts w:ascii="Times New Roman" w:cs="Times New Roman" w:eastAsia="Times New Roman" w:hAnsi="Times New Roman"/>
          <w:sz w:val="18"/>
          <w:szCs w:val="18"/>
          <w:i w:val="1"/>
          <w:iCs w:val="1"/>
          <w:color w:val="auto"/>
        </w:rPr>
        <w:t>Absence of Accounting Issues</w:t>
      </w:r>
      <w:r>
        <w:rPr>
          <w:rFonts w:ascii="Times New Roman" w:cs="Times New Roman" w:eastAsia="Times New Roman" w:hAnsi="Times New Roman"/>
          <w:sz w:val="18"/>
          <w:szCs w:val="18"/>
          <w:color w:val="auto"/>
        </w:rPr>
        <w:t>. Except as disclosed in the Registration Statement, the General Disclosure Package and the Final Prospectus, the Company has not received any notice, oral or written, from the Board stating that it is reviewing or investigating, and neither the Company’s independent auditors nor its internal auditors have recommended that the Board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fiscal years since inception; or (iii) any Internal Control Event.</w:t>
      </w:r>
    </w:p>
    <w:p>
      <w:pPr>
        <w:spacing w:after="0" w:line="182"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(xxxv)            </w:t>
      </w:r>
      <w:r>
        <w:rPr>
          <w:rFonts w:ascii="Times New Roman" w:cs="Times New Roman" w:eastAsia="Times New Roman" w:hAnsi="Times New Roman"/>
          <w:sz w:val="18"/>
          <w:szCs w:val="18"/>
          <w:i w:val="1"/>
          <w:iCs w:val="1"/>
          <w:color w:val="auto"/>
        </w:rPr>
        <w:t>Cybersecurity and Data Protection</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the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(the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and there have been no breaches, violations, outages or unauthorized uses of or accesses to same, except for those that would not have a Material Adverse Effect or have been remedied without material cost or liability or the duty to notify any other person, nor any incidents under internal review or investigations relating to the same. The Company and the Subsidiaries are presently in material compliance with all applicable laws or statutes and all judgments, orders, rules and regulations (including, without limitation, the CSRC Rules)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(xxxvi)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are no pending actions, suits or proceedings (including any inquiries or investigations by any court or governmental agency or body, domestic or foreign) against or affecting the Company, any of the Subsidiaries or, to the Company’s knowledge, any executive officer or director of the Company and the Subsidiaries, or any of their respective properties that, if determined adversely to the Company or any of the Subsidiaries (or their respective officers or directors), would individually or in the aggregate have a Material Adverse Effect, or which are otherwise material in the context of the sale of the Offered Shares; and no such actions, suits or proceedings (including any inquiries or investigations by any court or governmental agency or body, domestic or foreign) are threatened or, to the Company’s knowledge, contemplated. The Company’s directors and executive officers are not a party to any legal, governmental or regulatory proceedings that (i) would result in such director or officer to be unsuitable for his or her position on the Board or in the Company, as the case may be, (ii) would individually or in the aggregate have a Material Adverse Effect, or (iii) are required to be described in the Registration Statement, the General Disclosure Package and the Final Prospectus but are not so described.</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7" w:name="page18"/>
    <w:bookmarkEnd w:id="17"/>
    <w:p>
      <w:pPr>
        <w:ind w:left="644"/>
        <w:spacing w:after="0"/>
        <w:rPr>
          <w:sz w:val="20"/>
          <w:szCs w:val="20"/>
          <w:color w:val="auto"/>
        </w:rPr>
      </w:pPr>
      <w:r>
        <w:rPr>
          <w:rFonts w:ascii="Times New Roman" w:cs="Times New Roman" w:eastAsia="Times New Roman" w:hAnsi="Times New Roman"/>
          <w:sz w:val="18"/>
          <w:szCs w:val="18"/>
          <w:color w:val="auto"/>
        </w:rPr>
        <w:t>(xxxvii)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consolidated financial statements included or incorporated by reference in the Registration</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Statement and the General Disclosure Package and the Final Prospectus, together with the related notes and schedules thereto, present fairly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consolidated financial position of the Company and its Subsidiaries as of the dates shown and their results of operations and cash flows for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periods shown, and such financial statements have been prepared in compliance as to form with the applicable accounting requirements of the Act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the related rules and regulations adopted by the Commission and in conformity with the generally accepted accounting principles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in the United States applied on a consistent basis; the summary and selected consolidated financial data and the unaudited financial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results, including any quarterly financial results, included or incorporated by reference in the Registration Statement, the General Disclosure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Package and the Final Prospectus comply with the applicable requirements of the Act, and present fairly the information shown therein and have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been compiled on a basis consistent with that of the audited consolidated financial statements included therein; the other financial information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included in each of the Registration Statement, the General Disclosure Package and the Final Prospectus has been derived from the accounting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records of the Company and the Subsidiaries, accurately and fairly presented and was prepared on a basis consistent with the financial statements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books and records of the Company; there are no financial statements (historical or pro forma) that are required to be included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Statement, the General Disclosure Package and the Final Prospectus that are not included as required; and the Company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Subsidiaries do not have any material liabilities or obligations, direct or contingent (including any off-balance sheet obligations) not described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Registration Statement, the General Disclosure Package and the Final Prospectus.</w:t>
      </w:r>
    </w:p>
    <w:p>
      <w:pPr>
        <w:spacing w:after="0" w:line="205" w:lineRule="exact"/>
        <w:rPr>
          <w:sz w:val="20"/>
          <w:szCs w:val="20"/>
          <w:color w:val="auto"/>
        </w:rPr>
      </w:pPr>
    </w:p>
    <w:p>
      <w:pPr>
        <w:ind w:left="4" w:right="360" w:firstLine="648"/>
        <w:spacing w:after="0" w:line="277" w:lineRule="auto"/>
        <w:rPr>
          <w:sz w:val="20"/>
          <w:szCs w:val="20"/>
          <w:color w:val="auto"/>
        </w:rPr>
      </w:pPr>
      <w:r>
        <w:rPr>
          <w:rFonts w:ascii="Times New Roman" w:cs="Times New Roman" w:eastAsia="Times New Roman" w:hAnsi="Times New Roman"/>
          <w:sz w:val="17"/>
          <w:szCs w:val="17"/>
          <w:color w:val="auto"/>
        </w:rPr>
        <w:t>(xxxviii)         </w:t>
      </w:r>
      <w:r>
        <w:rPr>
          <w:rFonts w:ascii="Times New Roman" w:cs="Times New Roman" w:eastAsia="Times New Roman" w:hAnsi="Times New Roman"/>
          <w:sz w:val="17"/>
          <w:szCs w:val="17"/>
          <w:i w:val="1"/>
          <w:iCs w:val="1"/>
          <w:color w:val="auto"/>
        </w:rPr>
        <w:t>Critical Accounting Policies.</w:t>
      </w:r>
      <w:r>
        <w:rPr>
          <w:rFonts w:ascii="Times New Roman" w:cs="Times New Roman" w:eastAsia="Times New Roman" w:hAnsi="Times New Roman"/>
          <w:sz w:val="17"/>
          <w:szCs w:val="17"/>
          <w:color w:val="auto"/>
        </w:rPr>
        <w:t xml:space="preserve"> The section entitled “Management’s Discussion and Analysis of Financial Condition and Results of Operations” in the Registration Statement, the General Disclosure Package and the Final Prospectus accurately and fairly describes</w:t>
      </w:r>
    </w:p>
    <w:p>
      <w:pPr>
        <w:spacing w:after="0" w:line="1" w:lineRule="exact"/>
        <w:rPr>
          <w:sz w:val="20"/>
          <w:szCs w:val="20"/>
          <w:color w:val="auto"/>
        </w:rPr>
      </w:pPr>
    </w:p>
    <w:p>
      <w:pPr>
        <w:ind w:left="4" w:hanging="4"/>
        <w:spacing w:after="0" w:line="251"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policies that the Company believes are the most important in the portrayal of the Company’s financial condition and results of operations and that require management’s most difficult subjective or complex judgment; (ii) the material judgments and uncertainties affecting the application of critical accounting policies; (iii) the likelihood that materially different amounts would be reported under different conditions or using different assumptions and an explanation thereof; (iv) all trends, demands, commitments and events known to the Company, and uncertainties, and the potential effects thereof, that the Company believes would materially affect the liquidity of the Company and the Subsidiaries and are reasonably likely to occur; and (v) all off-balance sheet commitments and arrangements of the Company and the Subsidiaries, if any. The Company’s directors and management have reviewed and agreed with the selection, application and disclosure of the Company’s critical accounting policies as described in the Registration Statement, the General Disclosure Package and the Final Prospectus and have consulted with its independent accountants with regards to such disclosure.</w:t>
      </w:r>
    </w:p>
    <w:p>
      <w:pPr>
        <w:spacing w:after="0" w:line="191" w:lineRule="exact"/>
        <w:rPr>
          <w:sz w:val="20"/>
          <w:szCs w:val="20"/>
          <w:color w:val="auto"/>
        </w:rPr>
      </w:pPr>
    </w:p>
    <w:p>
      <w:pPr>
        <w:ind w:left="4" w:firstLine="648"/>
        <w:spacing w:after="0" w:line="253" w:lineRule="auto"/>
        <w:rPr>
          <w:sz w:val="20"/>
          <w:szCs w:val="20"/>
          <w:color w:val="auto"/>
        </w:rPr>
      </w:pPr>
      <w:r>
        <w:rPr>
          <w:rFonts w:ascii="Times New Roman" w:cs="Times New Roman" w:eastAsia="Times New Roman" w:hAnsi="Times New Roman"/>
          <w:sz w:val="18"/>
          <w:szCs w:val="18"/>
          <w:color w:val="auto"/>
        </w:rPr>
        <w:t>(xxxix)           </w:t>
      </w: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xml:space="preserve"> Since the end of the period covered by the latest audited financial statements included in the Registration Statement, the General Disclosure Package and the Final Prospectus, except as disclosed in the Registration Statement, the General Disclosure Package and the Final Prospectus, (i) there has been no change, nor any development or event involving a prospective change, in the condition (financial or otherwise), results of operations, shareholders’ equity, business, management, properties or prospects of the Company and the Subsidiaries, taken as a whole, that is material and adverse, (ii) there has been no purchase of its own outstanding share capital by the Company, no dividend or distribution of any kind declared, paid or made by the Company on any class of its share capital, (iii) there has been no material adverse change in the share capital, short-term indebtedness, long-term indebtedness, net current assets or net assets of the Company and the Subsidiaries, (iv) neither the Company nor any of the Subsidiaries has (1) entered into or assumed any material transaction or agreement, (2) incurred, assumed or acquired any material liability or obligation, direct or contingent, (3) acquired or disposed of or agreed to acquire or dispose of any business or any other asset, or (4) agreed to take any of the foregoing actions and (v) neither the Company nor any of the Subsidiaries has sustained any material loss or interference with its business from fire, explosion, flood or other calamity, whether or not covered by insurance, or from any labor dispute or court or governmental action, order or decree.</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2" w:right="359" w:bottom="1440" w:gutter="0" w:footer="0" w:header="0"/>
        </w:sectPr>
      </w:pPr>
    </w:p>
    <w:bookmarkStart w:id="18" w:name="page19"/>
    <w:bookmarkEnd w:id="18"/>
    <w:p>
      <w:pPr>
        <w:ind w:right="540" w:firstLine="648"/>
        <w:spacing w:after="0" w:line="261" w:lineRule="auto"/>
        <w:rPr>
          <w:sz w:val="20"/>
          <w:szCs w:val="20"/>
          <w:color w:val="auto"/>
        </w:rPr>
      </w:pPr>
      <w:r>
        <w:rPr>
          <w:rFonts w:ascii="Times New Roman" w:cs="Times New Roman" w:eastAsia="Times New Roman" w:hAnsi="Times New Roman"/>
          <w:sz w:val="18"/>
          <w:szCs w:val="18"/>
          <w:color w:val="auto"/>
        </w:rPr>
        <w:t>(xl)            </w:t>
      </w:r>
      <w:r>
        <w:rPr>
          <w:rFonts w:ascii="Times New Roman" w:cs="Times New Roman" w:eastAsia="Times New Roman" w:hAnsi="Times New Roman"/>
          <w:sz w:val="18"/>
          <w:szCs w:val="18"/>
          <w:i w:val="1"/>
          <w:iCs w:val="1"/>
          <w:color w:val="auto"/>
        </w:rPr>
        <w:t>Merger or Consolidation</w:t>
      </w:r>
      <w:r>
        <w:rPr>
          <w:rFonts w:ascii="Times New Roman" w:cs="Times New Roman" w:eastAsia="Times New Roman" w:hAnsi="Times New Roman"/>
          <w:sz w:val="18"/>
          <w:szCs w:val="18"/>
          <w:color w:val="auto"/>
        </w:rPr>
        <w:t>. Neither the Company nor any of the Subsidiaries is a party to any effective memorandum of understanding, letter of intent, definitive agreement or any similar agreements with respect to a merger or consolidation or an acquisition or disposition of assets, technologies, business units or businesses which is required to be described in the Registration Statement, the General Disclosure Package and the Final Prospectus and which is not so described.</w:t>
      </w:r>
    </w:p>
    <w:p>
      <w:pPr>
        <w:spacing w:after="0" w:line="180"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(xli)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The Company is not and, after giving effect to the offering and sale of the Offered Shares and the application of the proceeds thereof as described in the Registration Statement, the General Disclosure Package and the Final Prospectus, will not be an “investment company” as defined in the Investment Company Act of 1940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(xlii)           </w:t>
      </w:r>
      <w:r>
        <w:rPr>
          <w:rFonts w:ascii="Times New Roman" w:cs="Times New Roman" w:eastAsia="Times New Roman" w:hAnsi="Times New Roman"/>
          <w:sz w:val="18"/>
          <w:szCs w:val="18"/>
          <w:i w:val="1"/>
          <w:iCs w:val="1"/>
          <w:color w:val="auto"/>
        </w:rPr>
        <w:t>Ratings.</w:t>
      </w:r>
      <w:r>
        <w:rPr>
          <w:rFonts w:ascii="Times New Roman" w:cs="Times New Roman" w:eastAsia="Times New Roman" w:hAnsi="Times New Roman"/>
          <w:sz w:val="18"/>
          <w:szCs w:val="18"/>
          <w:color w:val="auto"/>
        </w:rPr>
        <w:t xml:space="preserve"> The Company does not have any outstanding debt securities rated by any “nationally recognized statistical rating organization” as such term is defined for purposes of Rule 436(g)(2) or under surveillance or review by any such organization, and the Company has not been placed on negative outlook by any such organization.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(xliii)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(xliv)           </w:t>
      </w: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Except as disclosed in the Registration Statement, the General Disclosure Package and the Final Prospectus, none of the Company or any Subsidiary is currently prohibited, directly or indirectly, under any agreement or other instrument to which it is a party or is subject, from paying any dividends to its shareholders, from making any other distribution on the Company or such Subsidiary’s share capital or similar ownership interest, from making or repaying to any loans or advances to the Company or to such Subsidiary or from transferring any of the properties or assets of the Company or such Subsidiary to the Company or another entity controlled by the Company.</w:t>
      </w:r>
    </w:p>
    <w:p>
      <w:pPr>
        <w:spacing w:after="0" w:line="182"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(xlv)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Except as disclosed in the Registration Statement, the General Disclosure Package and the Final Prospectus, no approvals are currently required in the Cayman Islands in order for the Company to pay dividends or other distributions declared by the Company to the holders of ordinary shares of the Company.</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(xlvi)          </w:t>
      </w:r>
      <w:r>
        <w:rPr>
          <w:rFonts w:ascii="Times New Roman" w:cs="Times New Roman" w:eastAsia="Times New Roman" w:hAnsi="Times New Roman"/>
          <w:sz w:val="18"/>
          <w:szCs w:val="18"/>
          <w:i w:val="1"/>
          <w:iCs w:val="1"/>
          <w:color w:val="auto"/>
        </w:rPr>
        <w:t>Legality</w:t>
      </w:r>
      <w:r>
        <w:rPr>
          <w:rFonts w:ascii="Times New Roman" w:cs="Times New Roman" w:eastAsia="Times New Roman" w:hAnsi="Times New Roman"/>
          <w:sz w:val="18"/>
          <w:szCs w:val="18"/>
          <w:color w:val="auto"/>
        </w:rPr>
        <w:t>. The legality, validity, enforceability or admissibility into evidence of any of the Registration Statement, the General Disclosure Package, the Final Prospectus, this Agreement or the Offered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(xlvii)         </w:t>
      </w:r>
      <w:r>
        <w:rPr>
          <w:rFonts w:ascii="Times New Roman" w:cs="Times New Roman" w:eastAsia="Times New Roman" w:hAnsi="Times New Roman"/>
          <w:sz w:val="18"/>
          <w:szCs w:val="18"/>
          <w:i w:val="1"/>
          <w:iCs w:val="1"/>
          <w:color w:val="auto"/>
        </w:rPr>
        <w:t>Payments in Foreign Currency.</w:t>
      </w:r>
      <w:r>
        <w:rPr>
          <w:rFonts w:ascii="Times New Roman" w:cs="Times New Roman" w:eastAsia="Times New Roman" w:hAnsi="Times New Roman"/>
          <w:sz w:val="18"/>
          <w:szCs w:val="18"/>
          <w:color w:val="auto"/>
        </w:rPr>
        <w:t xml:space="preserve"> Except as disclosed in the Registration Statement, the General Disclosure Package and the Final Prospectus, under current laws and regulations of the Cayman Islands, Hong Kong and any political subdivision thereof, all dividends and other distributions declared and payable on the Offered Shares may be paid by the Company to the holder thereof in United States dollars that may be converted into foreign currency and freely transferred out of the Cayman Islands and Hong Kong, and all such payments made to holders thereof or therein who are non-residents of the Cayman Islands or Hong Kong will not be subject to income, withholding or other taxes under laws and regulations of the Cayman Islands, Hong Kong or any political subdivision or taxing authority thereof or therein and will otherwise be free and clear of any other tax, duty, withholding or deduction in the Cayman Islands, Hong Kong or any political subdivision or taxing authority thereof or therein and without the necessity of obtaining any governmental authorization in the Cayman Islands, Hong Kong or any political subdivision or taxing authority thereof or therein, and (ii) all dividends and other distributions out of accumulated profits determined in accordance with PRC accounting standards and regulations, declared and payable on the share capital of the Subsidiaries that are organized or resident in the PRC may under the current laws and regulations of the PRC be converted into foreign currency (including United States dollars) and may be freely transferred out of the PRC in any currency, provided that the payment and the remittance of such dividends and other distributions outside of the PRC complies with the procedures required by the relevant laws and regulations of the PRC relating to foreign exchange, and such dividends and other distributions are not subject to any taxes under the laws and regulations of the PRC.</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9" w:name="page20"/>
    <w:bookmarkEnd w:id="19"/>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(xlviii)         </w:t>
      </w:r>
      <w:r>
        <w:rPr>
          <w:rFonts w:ascii="Times New Roman" w:cs="Times New Roman" w:eastAsia="Times New Roman" w:hAnsi="Times New Roman"/>
          <w:sz w:val="18"/>
          <w:szCs w:val="18"/>
          <w:i w:val="1"/>
          <w:iCs w:val="1"/>
          <w:color w:val="auto"/>
        </w:rPr>
        <w:t>Compliance with PRC Overseas Investment and Listing Regulations.</w:t>
      </w:r>
      <w:r>
        <w:rPr>
          <w:rFonts w:ascii="Times New Roman" w:cs="Times New Roman" w:eastAsia="Times New Roman" w:hAnsi="Times New Roman"/>
          <w:sz w:val="18"/>
          <w:szCs w:val="18"/>
          <w:color w:val="auto"/>
        </w:rPr>
        <w:t xml:space="preserve"> Except as described in the Registration Statement, the General Disclosure Package and the Final Prospectus, each of the Company and the Subsidiaries has complied, and has taken all steps to ensure compliance by each of its shareholders, directors and officers that is, or is directly or indirectly owned or controlled by, a PRC resident or citizen with any applicable rules and regulations of the relevant PRC government agencies (including but not limited to the Ministry of Commerce, the National Development and Reform Commission, the China Securities Regulatory Commission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and the State Administration of Foreign Exchange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relating to overseas investment by PRC residents and citizens (the “</w:t>
      </w:r>
      <w:r>
        <w:rPr>
          <w:rFonts w:ascii="Times New Roman" w:cs="Times New Roman" w:eastAsia="Times New Roman" w:hAnsi="Times New Roman"/>
          <w:sz w:val="18"/>
          <w:szCs w:val="18"/>
          <w:b w:val="1"/>
          <w:bCs w:val="1"/>
          <w:color w:val="auto"/>
        </w:rPr>
        <w:t>PRC Overseas Investment and Listing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including, without limitation, requesting each such Person that is, or is directly or indirectly owned or controlled by, a PRC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 or citizen, to complete any registration and other procedures required under applicable PRC Overseas Investment and Listing Regulations (including any applicable rules and regulations of the SAFE), except where such non-compliance would not have a Material Adverse Effect.</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(xlix)            </w:t>
      </w:r>
      <w:r>
        <w:rPr>
          <w:rFonts w:ascii="Times New Roman" w:cs="Times New Roman" w:eastAsia="Times New Roman" w:hAnsi="Times New Roman"/>
          <w:sz w:val="18"/>
          <w:szCs w:val="18"/>
          <w:i w:val="1"/>
          <w:iCs w:val="1"/>
          <w:color w:val="auto"/>
        </w:rPr>
        <w:t>M&amp;A Rules.</w:t>
      </w:r>
      <w:r>
        <w:rPr>
          <w:rFonts w:ascii="Times New Roman" w:cs="Times New Roman" w:eastAsia="Times New Roman" w:hAnsi="Times New Roman"/>
          <w:sz w:val="18"/>
          <w:szCs w:val="18"/>
          <w:color w:val="auto"/>
        </w:rPr>
        <w:t xml:space="preserve"> The Company is aware of and has been advised as to the content of the Rules on Mergers and Acquisitions of Domestic Enterprises by Foreign Investors and any official clarifications, guidance, interpretations or implementation rules in connection with or related thereto (the “</w:t>
      </w:r>
      <w:r>
        <w:rPr>
          <w:rFonts w:ascii="Times New Roman" w:cs="Times New Roman" w:eastAsia="Times New Roman" w:hAnsi="Times New Roman"/>
          <w:sz w:val="18"/>
          <w:szCs w:val="18"/>
          <w:b w:val="1"/>
          <w:bCs w:val="1"/>
          <w:color w:val="auto"/>
        </w:rPr>
        <w:t>PRC Mergers and Acquisitions Rules</w:t>
      </w:r>
      <w:r>
        <w:rPr>
          <w:rFonts w:ascii="Times New Roman" w:cs="Times New Roman" w:eastAsia="Times New Roman" w:hAnsi="Times New Roman"/>
          <w:sz w:val="18"/>
          <w:szCs w:val="18"/>
          <w:color w:val="auto"/>
        </w:rPr>
        <w:t>”) jointly promulgated by the Ministry of Commerce, the State Assets Supervision and Administration Commission, the State Tax Administration, the State Administration of Industry and Commerce, the CSRC and the SAFE on August 8, 2006, and as amended by the Ministry of Commerce on June 22, 2009, including the provisions thereof which purport to require offshore special purpose entities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PRC Mergers and Acquisitions Rules and the CSRC Rules from its PRC counsel, and the Company understands such legal advice. In addition, the Company has communicated such legal advice in full to each of its directors that signed the Registration Statement and each such director has confirmed that he or she understands such legal advice. The issuance and sale of the Offered Shares and the American Depositary Shares, the listing and trading of the American Depositary Shares on Nasdaq and the consummation of the transactions contemplated by this Agreement and the Deposit Agreement (i) are not and will not be, as of the date hereof or at the Closing Date, materially and adversely affected by the PRC Mergers and Acquisitions Rules and (ii) do not require the prior approval of the CSRC.</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 Except, in each case, as would not have a Material Adverse Effect, (i) the Company and the Subsidiaries have paid all national, regional, local and other taxes (other than with respect to taxes that are being contested in good faith) and filed all tax returns required to be filed through the date hereof and (ii) there is no tax deficiency that has been, or could reasonably be expected to be, asserted against the Company or any of the Subsidiaries or any of their respective properties or assets. (B) Any unpaid material income and corporation tax liability of the Company for any years not finally determined have been accrued on the Company’s financial statements in accordance with the generally accepted accounting principles in the United States. (C) All material local and national PRC governmental tax holidays, exemptions, waivers, financial subsidies, and other local and national PRC tax relief, concessions and preferential treatment enjoyed by the Company or any of the Subsidiaries as described in the Registration Statement, the General Disclosure Package and the Final Prospectus are valid, binding and enforceable and do not violate any laws, regulations, rules, orders, decrees, guidelines, judicial interpretations, notices or other legislation of the PRC.</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0" w:name="page21"/>
    <w:bookmarkEnd w:id="20"/>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(li)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the Subsidiaries have insurance covering their respective properties, operations, personnel and businesses against such losses and risks and in such amounts as required by applicable laws and which the Company reasonably believes are prudent and customary for the businesses in which they are engaged; and neither the Company nor any of the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(lii)              </w:t>
      </w:r>
      <w:r>
        <w:rPr>
          <w:rFonts w:ascii="Times New Roman" w:cs="Times New Roman" w:eastAsia="Times New Roman" w:hAnsi="Times New Roman"/>
          <w:sz w:val="18"/>
          <w:szCs w:val="18"/>
          <w:i w:val="1"/>
          <w:iCs w:val="1"/>
          <w:color w:val="auto"/>
        </w:rPr>
        <w:t>Compliance with Anti-Corruption Laws</w:t>
      </w:r>
      <w:r>
        <w:rPr>
          <w:rFonts w:ascii="Times New Roman" w:cs="Times New Roman" w:eastAsia="Times New Roman" w:hAnsi="Times New Roman"/>
          <w:sz w:val="18"/>
          <w:szCs w:val="18"/>
          <w:color w:val="auto"/>
        </w:rPr>
        <w:t>. Neither the Company nor any of its Subsidiaries or their respective affiliates, nor any director or officer, nor, to the best of the Company’s knowledge, any employee, agent, affiliate, or representative of or other person acting for or on behalf of the Company or any of its Subsidiaries or their respective affiliates, (i) has used any funds for any unlawful contribution, gift, entertainment or other unlawful expense relating to political activity; (ii) has taken or will take any action in furtherance of an offer, payment, promise to pay, or authorization or approval of the payment or giving of money, property, gifts or anything else of value, directly or indirectly, to any foreign or domestic “government official” (including any officer or employee of a government or government-owned or Subsidiary or of a public international organization, or any person acting in an official capacity for or on behalf of any of the foregoing, or any political party or party official or candidate for political office) to influence official action or secure an improper advantage; (iii) has violated or is in violation of any provision of the Foreign Corrupt Practices Act of 1977, as amended, or any applicable law or regulation implementing the OECD Convention on Combating Bribery of Foreign Public Officials in International Business Transactions, or has committed an offence under the Bribery Act 2010 of the United Kingdom or any other applicable anti-bribery or anti-corruption laws; (iv) made, offered, agreed, requested or taken an act in furtherance of any unlawful bribe or other unlawful benefit, including, without limitation, any rebate, payoff, influence payment, kickback or other unlawful or improper payment or benefit; or (v) will use, directly or indirectly, the proceeds of this offering in furtherance of an offer, payment, promise to pay, or authorization of the payment or giving of money, or anything else of value, to any person in violation of any applicable anti-corruption laws; and the Company and its Subsidiaries and affiliates have conducted their businesses in compliance with applicable anti-corruption laws and have instituted and maintained and will continue to maintain policies and procedures designed to promote and achieve compliance with such laws and with the representation and warranty contained herein. No investigation, action, suit or proceedings by or before any court or governmental agency, authority or body or any arbitrator involving the Company or any of the Subsidiaries with respect to the Anti-Corruption Laws is pending or threatened.</w:t>
      </w:r>
    </w:p>
    <w:p>
      <w:pPr>
        <w:spacing w:after="0" w:line="19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(liii)             </w:t>
      </w: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xml:space="preserve">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where the Company and its Subsidiaries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each of the Company and the Subsidiaries has instituted and maintained policies and procedures designed to ensure continued compliance therewith and with the representation and warranty contained herein, and no action, suit or proceeding by or before any court or governmental agency, authority or body or any arbitrator involving the Company or any of its Subsidiaries with respect to the Anti-Money Laundering Laws is pending or, to the best of the Company’s knowledge, threatened.</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1" w:name="page22"/>
    <w:bookmarkEnd w:id="21"/>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(liv)             </w:t>
      </w:r>
      <w:r>
        <w:rPr>
          <w:rFonts w:ascii="Times New Roman" w:cs="Times New Roman" w:eastAsia="Times New Roman" w:hAnsi="Times New Roman"/>
          <w:sz w:val="18"/>
          <w:szCs w:val="18"/>
          <w:i w:val="1"/>
          <w:iCs w:val="1"/>
          <w:color w:val="auto"/>
        </w:rPr>
        <w:t>Compliance with Sanctions.</w:t>
      </w:r>
      <w:r>
        <w:rPr>
          <w:rFonts w:ascii="Times New Roman" w:cs="Times New Roman" w:eastAsia="Times New Roman" w:hAnsi="Times New Roman"/>
          <w:sz w:val="18"/>
          <w:szCs w:val="18"/>
          <w:color w:val="auto"/>
        </w:rPr>
        <w:t xml:space="preserve"> (1) Neither the Company nor any of its Subsidiaries, nor any director or officer of the Company or any of its Subsidiaries, nor, to the best of the Company’s knowledge, any employee, agent, affiliate, representative or other person acting for or on behalf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a Person that is:</w:t>
      </w:r>
    </w:p>
    <w:p>
      <w:pPr>
        <w:spacing w:after="0" w:line="175" w:lineRule="exact"/>
        <w:rPr>
          <w:sz w:val="20"/>
          <w:szCs w:val="20"/>
          <w:color w:val="auto"/>
        </w:rPr>
      </w:pPr>
    </w:p>
    <w:p>
      <w:pPr>
        <w:ind w:left="1820" w:right="200"/>
        <w:spacing w:after="0" w:line="258" w:lineRule="auto"/>
        <w:rPr>
          <w:sz w:val="20"/>
          <w:szCs w:val="20"/>
          <w:color w:val="auto"/>
        </w:rPr>
      </w:pPr>
      <w:r>
        <w:rPr>
          <w:rFonts w:ascii="Times New Roman" w:cs="Times New Roman" w:eastAsia="Times New Roman" w:hAnsi="Times New Roman"/>
          <w:sz w:val="18"/>
          <w:szCs w:val="18"/>
          <w:color w:val="auto"/>
        </w:rPr>
        <w:t>(A)           the subject or the target of any sanctions administered or enforced by the U.S. government, including but not limited to the Department of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or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other applicable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w:t>
      </w:r>
    </w:p>
    <w:p>
      <w:pPr>
        <w:spacing w:after="0" w:line="183" w:lineRule="exact"/>
        <w:rPr>
          <w:sz w:val="20"/>
          <w:szCs w:val="20"/>
          <w:color w:val="auto"/>
        </w:rPr>
      </w:pPr>
    </w:p>
    <w:p>
      <w:pPr>
        <w:jc w:val="both"/>
        <w:ind w:left="1820" w:right="80"/>
        <w:spacing w:after="0" w:line="261" w:lineRule="auto"/>
        <w:rPr>
          <w:sz w:val="20"/>
          <w:szCs w:val="20"/>
          <w:color w:val="auto"/>
        </w:rPr>
      </w:pPr>
      <w:r>
        <w:rPr>
          <w:rFonts w:ascii="Times New Roman" w:cs="Times New Roman" w:eastAsia="Times New Roman" w:hAnsi="Times New Roman"/>
          <w:sz w:val="18"/>
          <w:szCs w:val="18"/>
          <w:color w:val="auto"/>
        </w:rPr>
        <w:t>(B)            located, organized or resident in a country, region or territory that is, or whose government is, the subject or the target of Sanctions (including, without limitation, Cuba, Iran, North Korea, Syria, the Crimea region of Ukraine, the so-called Donetsk People’s Republic and the so-called Luhansk People’s Republic or any other region of Ukraine identified pursuant to Executive Order 14065);</w:t>
      </w:r>
    </w:p>
    <w:p>
      <w:pPr>
        <w:spacing w:after="0" w:line="180" w:lineRule="exact"/>
        <w:rPr>
          <w:sz w:val="20"/>
          <w:szCs w:val="20"/>
          <w:color w:val="auto"/>
        </w:rPr>
      </w:pPr>
    </w:p>
    <w:p>
      <w:pPr>
        <w:jc w:val="both"/>
        <w:ind w:right="440" w:firstLine="1166"/>
        <w:spacing w:after="0" w:line="266" w:lineRule="auto"/>
        <w:rPr>
          <w:sz w:val="20"/>
          <w:szCs w:val="20"/>
          <w:color w:val="auto"/>
        </w:rPr>
      </w:pPr>
      <w:r>
        <w:rPr>
          <w:rFonts w:ascii="Times New Roman" w:cs="Times New Roman" w:eastAsia="Times New Roman" w:hAnsi="Times New Roman"/>
          <w:sz w:val="18"/>
          <w:szCs w:val="18"/>
          <w:color w:val="auto"/>
        </w:rPr>
        <w:t>(2)            The Company represents and covenants that the Company and its Subsidiaries will not, directly or indirectly, use the proceeds of the offering of the Offered Shares, or lend, contribute or otherwise make available such proceeds to any subsidiary, joint venture partner or other Person, including the Subsidiaries:</w:t>
      </w:r>
    </w:p>
    <w:p>
      <w:pPr>
        <w:spacing w:after="0" w:line="176" w:lineRule="exact"/>
        <w:rPr>
          <w:sz w:val="20"/>
          <w:szCs w:val="20"/>
          <w:color w:val="auto"/>
        </w:rPr>
      </w:pPr>
    </w:p>
    <w:p>
      <w:pPr>
        <w:ind w:left="1820" w:right="240"/>
        <w:spacing w:after="0" w:line="282" w:lineRule="auto"/>
        <w:rPr>
          <w:sz w:val="20"/>
          <w:szCs w:val="20"/>
          <w:color w:val="auto"/>
        </w:rPr>
      </w:pPr>
      <w:r>
        <w:rPr>
          <w:rFonts w:ascii="Times New Roman" w:cs="Times New Roman" w:eastAsia="Times New Roman" w:hAnsi="Times New Roman"/>
          <w:sz w:val="18"/>
          <w:szCs w:val="18"/>
          <w:color w:val="auto"/>
        </w:rPr>
        <w:t>(A)           to fund or facilitate any activities or business of or with any Person or in any country, region or territory that, at the time of such funding or facilitation, is, or whose government is, the subject or the target of Sanctions; or</w:t>
      </w:r>
    </w:p>
    <w:p>
      <w:pPr>
        <w:spacing w:after="0" w:line="162" w:lineRule="exact"/>
        <w:rPr>
          <w:sz w:val="20"/>
          <w:szCs w:val="20"/>
          <w:color w:val="auto"/>
        </w:rPr>
      </w:pPr>
    </w:p>
    <w:p>
      <w:pPr>
        <w:ind w:left="1820" w:right="140"/>
        <w:spacing w:after="0" w:line="282" w:lineRule="auto"/>
        <w:rPr>
          <w:sz w:val="20"/>
          <w:szCs w:val="20"/>
          <w:color w:val="auto"/>
        </w:rPr>
      </w:pPr>
      <w:r>
        <w:rPr>
          <w:rFonts w:ascii="Times New Roman" w:cs="Times New Roman" w:eastAsia="Times New Roman" w:hAnsi="Times New Roman"/>
          <w:sz w:val="18"/>
          <w:szCs w:val="18"/>
          <w:color w:val="auto"/>
        </w:rPr>
        <w:t>(B)            in any other manner that will result in a violation of Sanctions by any Person (including any Person participating in the offering of the Offered Shares, whether as underwriter, advisor, investor or otherwise);</w:t>
      </w:r>
    </w:p>
    <w:p>
      <w:pPr>
        <w:spacing w:after="0" w:line="162" w:lineRule="exact"/>
        <w:rPr>
          <w:sz w:val="20"/>
          <w:szCs w:val="20"/>
          <w:color w:val="auto"/>
        </w:rPr>
      </w:pPr>
    </w:p>
    <w:p>
      <w:pPr>
        <w:jc w:val="both"/>
        <w:ind w:right="120" w:firstLine="1166"/>
        <w:spacing w:after="0" w:line="289" w:lineRule="auto"/>
        <w:rPr>
          <w:sz w:val="20"/>
          <w:szCs w:val="20"/>
          <w:color w:val="auto"/>
        </w:rPr>
      </w:pPr>
      <w:r>
        <w:rPr>
          <w:rFonts w:ascii="Times New Roman" w:cs="Times New Roman" w:eastAsia="Times New Roman" w:hAnsi="Times New Roman"/>
          <w:sz w:val="17"/>
          <w:szCs w:val="17"/>
          <w:color w:val="auto"/>
        </w:rPr>
        <w:t>(3)            The Company represents and covenants that, for the past five years, the Company and its Subsidiaries have not knowingly engaged in, are not now knowingly engaged in, and will not engage in, any dealings or transactions with any Person, or in any country, region or territory, that at the time of the dealing or transaction is or was, or whose government was, the subject or the target of Sanctions;</w:t>
      </w:r>
    </w:p>
    <w:p>
      <w:pPr>
        <w:spacing w:after="0" w:line="158" w:lineRule="exact"/>
        <w:rPr>
          <w:sz w:val="20"/>
          <w:szCs w:val="20"/>
          <w:color w:val="auto"/>
        </w:rPr>
      </w:pPr>
    </w:p>
    <w:p>
      <w:pPr>
        <w:ind w:right="580" w:firstLine="1166"/>
        <w:spacing w:after="0" w:line="282" w:lineRule="auto"/>
        <w:rPr>
          <w:sz w:val="20"/>
          <w:szCs w:val="20"/>
          <w:color w:val="auto"/>
        </w:rPr>
      </w:pPr>
      <w:r>
        <w:rPr>
          <w:rFonts w:ascii="Times New Roman" w:cs="Times New Roman" w:eastAsia="Times New Roman" w:hAnsi="Times New Roman"/>
          <w:sz w:val="18"/>
          <w:szCs w:val="18"/>
          <w:color w:val="auto"/>
        </w:rPr>
        <w:t>(4)            Each of the Company and the Subsidiaries has instituted and maintained policies and procedures designed to ensure continued compliance therewith and with the representation and warranty contained herein; and</w:t>
      </w:r>
    </w:p>
    <w:p>
      <w:pPr>
        <w:spacing w:after="0" w:line="162" w:lineRule="exact"/>
        <w:rPr>
          <w:sz w:val="20"/>
          <w:szCs w:val="20"/>
          <w:color w:val="auto"/>
        </w:rPr>
      </w:pPr>
    </w:p>
    <w:p>
      <w:pPr>
        <w:ind w:right="260" w:firstLine="1166"/>
        <w:spacing w:after="0" w:line="266" w:lineRule="auto"/>
        <w:rPr>
          <w:sz w:val="20"/>
          <w:szCs w:val="20"/>
          <w:color w:val="auto"/>
        </w:rPr>
      </w:pPr>
      <w:r>
        <w:rPr>
          <w:rFonts w:ascii="Times New Roman" w:cs="Times New Roman" w:eastAsia="Times New Roman" w:hAnsi="Times New Roman"/>
          <w:sz w:val="18"/>
          <w:szCs w:val="18"/>
          <w:color w:val="auto"/>
        </w:rPr>
        <w:t>(5)            None of the issue and sale of the Offered Shares, the execution, delivery and performance of this Agreement, the consummation of any other transaction contemplated hereby, or the provision of services contemplated by this Agreement to the Company will result in a violation of any of the Sanctions.</w:t>
      </w:r>
    </w:p>
    <w:p>
      <w:pPr>
        <w:spacing w:after="0" w:line="17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(lv)             </w:t>
      </w:r>
      <w:r>
        <w:rPr>
          <w:rFonts w:ascii="Times New Roman" w:cs="Times New Roman" w:eastAsia="Times New Roman" w:hAnsi="Times New Roman"/>
          <w:sz w:val="18"/>
          <w:szCs w:val="18"/>
          <w:i w:val="1"/>
          <w:iCs w:val="1"/>
          <w:color w:val="auto"/>
        </w:rPr>
        <w:t>Outbound Investment.</w:t>
      </w:r>
      <w:r>
        <w:rPr>
          <w:rFonts w:ascii="Times New Roman" w:cs="Times New Roman" w:eastAsia="Times New Roman" w:hAnsi="Times New Roman"/>
          <w:sz w:val="18"/>
          <w:szCs w:val="18"/>
          <w:color w:val="auto"/>
        </w:rPr>
        <w:t xml:space="preserve">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8"/>
          <w:szCs w:val="18"/>
          <w:b w:val="1"/>
          <w:bCs w:val="1"/>
          <w:color w:val="auto"/>
        </w:rPr>
        <w:t>Covered Activity</w:t>
      </w:r>
      <w:r>
        <w:rPr>
          <w:rFonts w:ascii="Times New Roman" w:cs="Times New Roman" w:eastAsia="Times New Roman" w:hAnsi="Times New Roman"/>
          <w:sz w:val="18"/>
          <w:szCs w:val="18"/>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22" w:name="page23"/>
    <w:bookmarkEnd w:id="22"/>
    <w:p>
      <w:pPr>
        <w:ind w:firstLine="648"/>
        <w:spacing w:after="0" w:line="261" w:lineRule="auto"/>
        <w:rPr>
          <w:sz w:val="20"/>
          <w:szCs w:val="20"/>
          <w:color w:val="auto"/>
        </w:rPr>
      </w:pPr>
      <w:r>
        <w:rPr>
          <w:rFonts w:ascii="Times New Roman" w:cs="Times New Roman" w:eastAsia="Times New Roman" w:hAnsi="Times New Roman"/>
          <w:sz w:val="18"/>
          <w:szCs w:val="18"/>
          <w:color w:val="auto"/>
        </w:rPr>
        <w:t>(lvi)            </w:t>
      </w:r>
      <w:r>
        <w:rPr>
          <w:rFonts w:ascii="Times New Roman" w:cs="Times New Roman" w:eastAsia="Times New Roman" w:hAnsi="Times New Roman"/>
          <w:sz w:val="18"/>
          <w:szCs w:val="18"/>
          <w:i w:val="1"/>
          <w:iCs w:val="1"/>
          <w:color w:val="auto"/>
        </w:rPr>
        <w:t>Registration Statement Exhibits.</w:t>
      </w:r>
      <w:r>
        <w:rPr>
          <w:rFonts w:ascii="Times New Roman" w:cs="Times New Roman" w:eastAsia="Times New Roman" w:hAnsi="Times New Roman"/>
          <w:sz w:val="18"/>
          <w:szCs w:val="18"/>
          <w:color w:val="auto"/>
        </w:rPr>
        <w:t xml:space="preserve"> There are no statutes, regulations, legal or governmental proceedings or contracts or other documents of a character required to be described in the Registration Statement, the ADS Registration Statement, any Additional Registration Statement or the most recent Statutory Prospectus or, in the case of documents, to be included as exhibits to the Registration Statement that are not described or filed as required.</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(lvii)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No material relationships or material transactions, direct or indirect, exist between any of the Company or the Subsidiaries on the one hand and their respective principal shareholders, sponsors, affiliates, officers and directors or any affiliates or family members of such persons on the other hand, except as described in the Registration Statement, the General Disclosure Package and the Final Prospectus. The description of the transactions, agreements, arrangements and relationships set forth in the Registration Statement, the General Disclosure Package and the Final Prospectus under the captions “Related Party Transactions” and “Principal Shareholders” fairly summarizes the transactions, agreements, arrangements and relationships that are required to be disclosed therein pursuant to the Act and is true and accurate in all material respects.</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(lviii)            </w:t>
      </w:r>
      <w:r>
        <w:rPr>
          <w:rFonts w:ascii="Times New Roman" w:cs="Times New Roman" w:eastAsia="Times New Roman" w:hAnsi="Times New Roman"/>
          <w:sz w:val="18"/>
          <w:szCs w:val="18"/>
          <w:i w:val="1"/>
          <w:iCs w:val="1"/>
          <w:color w:val="auto"/>
        </w:rPr>
        <w:t>No Sale, Issuance and Distribution of Shares</w:t>
      </w:r>
      <w:r>
        <w:rPr>
          <w:rFonts w:ascii="Times New Roman" w:cs="Times New Roman" w:eastAsia="Times New Roman" w:hAnsi="Times New Roman"/>
          <w:sz w:val="18"/>
          <w:szCs w:val="18"/>
          <w:color w:val="auto"/>
        </w:rPr>
        <w:t>. The Company has not sold, issued or distributed any ordinary shares during the six-month period preceding the date hereof, including any sales pursuant to Rule 144A or Regulation D or S under the Securities Act, other than shares issued pursuant to that certain Sales Agreement, dated March 29, 2024 between the Company and Leerink Partners LLC, pursuant to employee benefit plans, qualified share option plans or other employee compensation plans, pursuant to outstanding options, rights, warrants or conversion of outstanding preference convertible securities.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(lix)              </w:t>
      </w:r>
      <w:r>
        <w:rPr>
          <w:rFonts w:ascii="Times New Roman" w:cs="Times New Roman" w:eastAsia="Times New Roman" w:hAnsi="Times New Roman"/>
          <w:sz w:val="18"/>
          <w:szCs w:val="18"/>
          <w:i w:val="1"/>
          <w:iCs w:val="1"/>
          <w:color w:val="auto"/>
        </w:rPr>
        <w:t>Foreign Private Issuer</w:t>
      </w:r>
      <w:r>
        <w:rPr>
          <w:rFonts w:ascii="Times New Roman" w:cs="Times New Roman" w:eastAsia="Times New Roman" w:hAnsi="Times New Roman"/>
          <w:sz w:val="18"/>
          <w:szCs w:val="18"/>
          <w:color w:val="auto"/>
        </w:rPr>
        <w:t>. The Company is a “foreign private issuer” within the meaning of Rule 405 of the Act.</w:t>
      </w:r>
    </w:p>
    <w:p>
      <w:pPr>
        <w:spacing w:after="0" w:line="22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7"/>
          <w:szCs w:val="17"/>
          <w:color w:val="auto"/>
        </w:rPr>
        <w:t>(lx)               </w:t>
      </w:r>
      <w:r>
        <w:rPr>
          <w:rFonts w:ascii="Times New Roman" w:cs="Times New Roman" w:eastAsia="Times New Roman" w:hAnsi="Times New Roman"/>
          <w:sz w:val="17"/>
          <w:szCs w:val="17"/>
          <w:i w:val="1"/>
          <w:iCs w:val="1"/>
          <w:color w:val="auto"/>
        </w:rPr>
        <w:t>Independence of PricewaterhouseCoopers Zhong Tian LLP</w:t>
      </w:r>
      <w:r>
        <w:rPr>
          <w:rFonts w:ascii="Times New Roman" w:cs="Times New Roman" w:eastAsia="Times New Roman" w:hAnsi="Times New Roman"/>
          <w:sz w:val="17"/>
          <w:szCs w:val="17"/>
          <w:color w:val="auto"/>
        </w:rPr>
        <w:t>. PricewaterhouseCoopers Zhong Tian LLP (“</w:t>
      </w:r>
      <w:r>
        <w:rPr>
          <w:rFonts w:ascii="Times New Roman" w:cs="Times New Roman" w:eastAsia="Times New Roman" w:hAnsi="Times New Roman"/>
          <w:sz w:val="17"/>
          <w:szCs w:val="17"/>
          <w:b w:val="1"/>
          <w:bCs w:val="1"/>
          <w:color w:val="auto"/>
        </w:rPr>
        <w:t>PwC</w:t>
      </w:r>
      <w:r>
        <w:rPr>
          <w:rFonts w:ascii="Times New Roman" w:cs="Times New Roman" w:eastAsia="Times New Roman" w:hAnsi="Times New Roman"/>
          <w:sz w:val="17"/>
          <w:szCs w:val="17"/>
          <w:color w:val="auto"/>
        </w:rPr>
        <w:t>”), who has certified the financial statements filed with the Commission as part of the General Disclosure Package, the Final Prospectus and each Registration Statement, is an independent registered public accounting firm with respect to the Company and the Subsidiaries within the applicable rules and regulations adopted by the Commission and Public Company Accounting Oversight Board (United Sates) and as required by the Act.</w:t>
      </w:r>
    </w:p>
    <w:p>
      <w:pPr>
        <w:spacing w:after="0" w:line="16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(lxi)             </w:t>
      </w:r>
      <w:r>
        <w:rPr>
          <w:rFonts w:ascii="Times New Roman" w:cs="Times New Roman" w:eastAsia="Times New Roman" w:hAnsi="Times New Roman"/>
          <w:sz w:val="17"/>
          <w:szCs w:val="17"/>
          <w:i w:val="1"/>
          <w:iCs w:val="1"/>
          <w:color w:val="auto"/>
        </w:rPr>
        <w:t>Studies, Tests and Clinical Trials</w:t>
      </w:r>
      <w:r>
        <w:rPr>
          <w:rFonts w:ascii="Times New Roman" w:cs="Times New Roman" w:eastAsia="Times New Roman" w:hAnsi="Times New Roman"/>
          <w:sz w:val="17"/>
          <w:szCs w:val="17"/>
          <w:color w:val="auto"/>
        </w:rPr>
        <w:t>. (i) the clinical and pre-clinical studies (as applicable) conducted by, on behalf of or sponsored by the Company or its Subsidiaries, taken as a whole, or in which the Company or its subsidiaries or their product candidates, taken as a whole, have participated and that are described in the Registration Statement, the General Disclosure Package and the Final Prospectus, or the results of which are referred to in the Registration Statement, the General Disclosure Package and the Final Prospectus, as applicable, were, and if still pending are, being conducted in all material respects in accordance with standard medical and scientific research standards and procedures for product candidates comparable to those being developed by the Company and all Applicable Laws of the FDA, NMPA and comparable regulatory agencies to which they are subject (collectively, the “</w:t>
      </w:r>
      <w:r>
        <w:rPr>
          <w:rFonts w:ascii="Times New Roman" w:cs="Times New Roman" w:eastAsia="Times New Roman" w:hAnsi="Times New Roman"/>
          <w:sz w:val="17"/>
          <w:szCs w:val="17"/>
          <w:b w:val="1"/>
          <w:bCs w:val="1"/>
          <w:color w:val="auto"/>
        </w:rPr>
        <w:t>Regulatory Authorities</w:t>
      </w:r>
      <w:r>
        <w:rPr>
          <w:rFonts w:ascii="Times New Roman" w:cs="Times New Roman" w:eastAsia="Times New Roman" w:hAnsi="Times New Roman"/>
          <w:sz w:val="17"/>
          <w:szCs w:val="17"/>
          <w:color w:val="auto"/>
        </w:rPr>
        <w:t>”) and current Good Clinical Practices and Good Laboratory Practice; (ii) the descriptions in the Registration Statement, the General Disclosure Package and the Final Prospectus of the results of such studies and tests are accurate and complete descriptions in all material respects and fairly present the data derived therefrom; (iii) the Company has no knowledge of any other studies not described in the Registration Statement, the General Disclosure Package and the Final Prospectus, the results of which are inconsistent with or call into question the results described or referred to in the Registration Statement, the General Disclosure Package and the Final Prospectus; (iv) the Company and its Subsidiaries have been and are currently in compliance in all material respects with all Applicable Laws of the Regulatory Authorities; and (v) except as disclosed in the Registration Statement, the General Disclosure Package and the Final Prospectus, neither the Company nor any of its Subsidiaries have received any written notices, correspondence or other communications from the Regulatory Authorities or any other governmental agency requiring or threatening the termination, modification or suspension of any clinical or pre-clinical studies that are described in the Registration Statement, the General Disclosure Package and the Final Prospectus or the results of which are referred to in the Registration Statement, the General Disclosure Package and the Final Prospectus. Except as otherwise described in the Registration Statement, the General Disclosure Package and the Final Prospectus, neither the FDA nor any applicable foreign Regulatory Authorities has commenced or threatened to initiate, any action to place a hold order on, or otherwise terminate, delay or suspend, any proposed or ongoing pre-clinical studies or clinical investigations conducted or proposed to be conducted by or on behalf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23" w:name="page24"/>
    <w:bookmarkEnd w:id="23"/>
    <w:p>
      <w:pPr>
        <w:ind w:firstLine="648"/>
        <w:spacing w:after="0" w:line="251" w:lineRule="auto"/>
        <w:rPr>
          <w:sz w:val="20"/>
          <w:szCs w:val="20"/>
          <w:color w:val="auto"/>
        </w:rPr>
      </w:pPr>
      <w:r>
        <w:rPr>
          <w:rFonts w:ascii="Times New Roman" w:cs="Times New Roman" w:eastAsia="Times New Roman" w:hAnsi="Times New Roman"/>
          <w:sz w:val="18"/>
          <w:szCs w:val="18"/>
          <w:color w:val="auto"/>
        </w:rPr>
        <w:t>(lxii)            </w:t>
      </w:r>
      <w:r>
        <w:rPr>
          <w:rFonts w:ascii="Times New Roman" w:cs="Times New Roman" w:eastAsia="Times New Roman" w:hAnsi="Times New Roman"/>
          <w:sz w:val="18"/>
          <w:szCs w:val="18"/>
          <w:i w:val="1"/>
          <w:iCs w:val="1"/>
          <w:color w:val="auto"/>
        </w:rPr>
        <w:t>Health Care Laws</w:t>
      </w:r>
      <w:r>
        <w:rPr>
          <w:rFonts w:ascii="Times New Roman" w:cs="Times New Roman" w:eastAsia="Times New Roman" w:hAnsi="Times New Roman"/>
          <w:sz w:val="18"/>
          <w:szCs w:val="18"/>
          <w:color w:val="auto"/>
        </w:rPr>
        <w:t>. The Company and each of its Subsidiaries has operated and currently is in compliance with all applicable Health Care Laws (defined herein), including, without limitation, the rules and regulations of the FDA, the U.S. Department of Health and Human Services Office of Inspector General, the Centers for Medicare &amp; Medicaid Services, the Office for Civil Rights, the Department of Justice or any other governmental agency or body having jurisdiction over the Company or any of its properties, and has not engaged in activities which are, as applicable, cause for false claims liability, civil penalties, or mandatory or permissive exclusion from Medicare, Medicaid, or any other state or federal health care program.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shall mean the federal Anti-kickback Statute (42 U.S.C. § 1320a-7b(b)), the Physician Payment Sunshine Act (42 U.S.C. § 1320a-7h), the civil False Claims Act (31 U.S.C. §§ 3729 et seq.), the criminal False Claims Act (42 U.S.C. § 1320a-7b(a)), all criminal laws relating to health care fraud and abuse, including but not limited to 18 U.S.C. Sections 286, 287, 1347 and 1349,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 §§ 17921 et seq.), the patient privacy, data security and breach notification provisions under HIPAA, the Federal Food, Drug, and Cosmetic Act (21 U.S.C. §§ 301 et seq.), Public Health Service Act (42 U.S.C. §§ 201 et seq.) and the regulations promulgated thereunder, Medicare (Title XVIII of the Social Security Act), Medicaid (Title XIX of the Social Security Act), the regulations promulgated pursuant to such laws, and any other similar local, state or federal law and regulations. Neither the Company or any of its Subsidiaries has received any FDA Form 483, notice of adverse finding, warning letter, untitled letter or other correspondence, communication or notice from the FDA or any other governmental or regulatory authority alleging or asserting noncompliance with any Health Care Laws applicable to the Company.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not a party to nor has any ongoing reporting obligations pursuant to any corporate integrity agreements, deferred or non-prosecution agreements, monitoring agreements, consent decrees, settlement orders, plans of correction or similar agreements with or imposed by any governmental or regulatory authority. Neither the Company, its Subsidiaries nor any of their respective employees, officers, directors, or to the Company’s knowledge, consultants or agents, has been excluded, suspended or debarred from participation in any U.S. state or federal health care program or human clinical research or is subject to a governmental inquiry, investigation, proceeding, or other similar action that could reasonably be expected to result in debarment, suspension, or exclusion.</w:t>
      </w:r>
    </w:p>
    <w:p>
      <w:pPr>
        <w:spacing w:after="0" w:line="20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(lxiii)            </w:t>
      </w:r>
      <w:r>
        <w:rPr>
          <w:rFonts w:ascii="Times New Roman" w:cs="Times New Roman" w:eastAsia="Times New Roman" w:hAnsi="Times New Roman"/>
          <w:sz w:val="18"/>
          <w:szCs w:val="18"/>
          <w:i w:val="1"/>
          <w:iCs w:val="1"/>
          <w:color w:val="auto"/>
        </w:rPr>
        <w:t>Stamp Duty</w:t>
      </w:r>
      <w:r>
        <w:rPr>
          <w:rFonts w:ascii="Times New Roman" w:cs="Times New Roman" w:eastAsia="Times New Roman" w:hAnsi="Times New Roman"/>
          <w:sz w:val="18"/>
          <w:szCs w:val="18"/>
          <w:color w:val="auto"/>
        </w:rPr>
        <w:t>. Except as disclosed in the Registration Statement, the General Disclosure Package and the Final Prospectus, under the laws and regulations of each of the jurisdictions in which the Company and the Subsidiaries are incorporated or organized or otherwise resident for tax purposes, as applicable, or any political subdivision or taxing authority thereof or therein, no transaction, stamp or other issuance, registration, transfer or similar tax or duty is payable in any such jurisdiction by, or on behalf of, the Underwriters to any taxing authority in connection with (i) the issuance, sale and delivery of the Ordinary Shares represented by the Offered Shares by the Company, the issuance of the Offered Shares by the Depositary and the delivery of the Offered Shares to, or for the account of, the Underwriters; (ii) the purchase from the Company, and the initial sale and delivery by the Underwriters, of the Offered Shares to purchasers thereof in the manner contemplated in this Agreement; (iii) the deposit of the Ordinary Shares with the Depositary and the issuance and delivery of the ADRs evidencing the Offered Shares; or (iv) the execution, delivery and performance of this Agreement and the Deposit Agreement.</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2" w:right="379" w:bottom="1440" w:gutter="0" w:footer="0" w:header="0"/>
        </w:sectPr>
      </w:pPr>
    </w:p>
    <w:bookmarkStart w:id="24" w:name="page25"/>
    <w:bookmarkEnd w:id="24"/>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(lxiv)            </w:t>
      </w:r>
      <w:r>
        <w:rPr>
          <w:rFonts w:ascii="Times New Roman" w:cs="Times New Roman" w:eastAsia="Times New Roman" w:hAnsi="Times New Roman"/>
          <w:sz w:val="18"/>
          <w:szCs w:val="18"/>
          <w:i w:val="1"/>
          <w:iCs w:val="1"/>
          <w:color w:val="auto"/>
        </w:rPr>
        <w:t>No Unapproved Marketing Documents.</w:t>
      </w:r>
      <w:r>
        <w:rPr>
          <w:rFonts w:ascii="Times New Roman" w:cs="Times New Roman" w:eastAsia="Times New Roman" w:hAnsi="Times New Roman"/>
          <w:sz w:val="18"/>
          <w:szCs w:val="18"/>
          <w:color w:val="auto"/>
        </w:rPr>
        <w:t xml:space="preserve"> The Company has not distributed and, prior to the later of the Closing Date and completion of the distribution of the Offered Shares, will not distribute any offering material in connection with the offering and sale of the Offered Shares other than any preliminary prospectus,the Final Prospectus, any Issuer Free Writing Prospectus to which the Representatives have consented in accordance with this Agreement and any Issuer Free Writing Prospectus set forth on Schedule B hereto.</w:t>
      </w:r>
    </w:p>
    <w:p>
      <w:pPr>
        <w:spacing w:after="0" w:line="180"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(lxv)            </w:t>
      </w:r>
      <w:r>
        <w:rPr>
          <w:rFonts w:ascii="Times New Roman" w:cs="Times New Roman" w:eastAsia="Times New Roman" w:hAnsi="Times New Roman"/>
          <w:sz w:val="17"/>
          <w:szCs w:val="17"/>
          <w:i w:val="1"/>
          <w:iCs w:val="1"/>
          <w:color w:val="auto"/>
        </w:rPr>
        <w:t>Validity of Choice of Law.</w:t>
      </w:r>
      <w:r>
        <w:rPr>
          <w:rFonts w:ascii="Times New Roman" w:cs="Times New Roman" w:eastAsia="Times New Roman" w:hAnsi="Times New Roman"/>
          <w:sz w:val="17"/>
          <w:szCs w:val="17"/>
          <w:color w:val="auto"/>
        </w:rPr>
        <w:t xml:space="preserve"> The choice of laws of the State of New York as the governing law of this Agreement and the Deposit Agreement is a valid choice of law under the laws of the Cayman Islands and the PRC and will be honored by courts in the Cayman Islands and, to the extent permitted under the PRC civil law and rules of civil procedures, will be observed and given effect by the courts in the PRC. The Company has the power to submit, and pursuant to Section 16 of this Agreement and Section 20(b) of the Deposit Agreement, has legally, validly, effectively and irrevocably submitted, to the personal jurisdiction of each United States federal court and New York state court located in the Borough of Manhattan, in The City of New York, New York, U.S.A. (each, a “</w:t>
      </w:r>
      <w:r>
        <w:rPr>
          <w:rFonts w:ascii="Times New Roman" w:cs="Times New Roman" w:eastAsia="Times New Roman" w:hAnsi="Times New Roman"/>
          <w:sz w:val="17"/>
          <w:szCs w:val="17"/>
          <w:b w:val="1"/>
          <w:bCs w:val="1"/>
          <w:color w:val="auto"/>
        </w:rPr>
        <w:t>New York Court</w:t>
      </w:r>
      <w:r>
        <w:rPr>
          <w:rFonts w:ascii="Times New Roman" w:cs="Times New Roman" w:eastAsia="Times New Roman" w:hAnsi="Times New Roman"/>
          <w:sz w:val="17"/>
          <w:szCs w:val="17"/>
          <w:color w:val="auto"/>
        </w:rPr>
        <w:t>”) and has validly and irrevocably waived any objection to the laying of venue of any suit, action or proceeding brought in any such court, and the Company has the power to designate, appoint and authorize, and pursuant to Section 16 of this Agreement and Section 21(a) of the Deposit Agreement, has legally, validly, effectively and irrevocably designated, appointed an authorized agent for service of process in any action arising out of or relating to this Agreement, the Deposit Agreement, the Registration Statement and the ADS Registration Statement or the Offered Shares in any New York Court, and service of process effected on such authorized agent will be effective to confer valid personal jurisdiction over the Company as provided in Section 16 hereof.</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(lxvi)            </w:t>
      </w: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xml:space="preserve"> None of the Company, or the Subsidiaries or any of their respective properties, assets or revenues has any right of immunity under Cayman Islands, PRC or U.S. federal or New York state law, from any legal action, suit or proceeding, from the giving of any relief in any such legal action, suit or proceeding, from set-off or counterclaim, from the jurisdiction of any Cayman Islands, PRC, New York state or U.S. federal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and, to the extent that the Company, or any subsidiaries or any of their respective properties, assets or revenues may have or may hereafter become entitled to any such right of immunity in any such court in which proceedings may at any time be commenced, each of the Company and each of the subsidiaries waives or will waive such right to the extent permitted by law and has consented to such relief and enforcement as provided in Section 16 of this Agreement.</w:t>
      </w:r>
    </w:p>
    <w:p>
      <w:pPr>
        <w:spacing w:after="0" w:line="18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(lxvii)            </w:t>
      </w:r>
      <w:r>
        <w:rPr>
          <w:rFonts w:ascii="Times New Roman" w:cs="Times New Roman" w:eastAsia="Times New Roman" w:hAnsi="Times New Roman"/>
          <w:sz w:val="18"/>
          <w:szCs w:val="18"/>
          <w:i w:val="1"/>
          <w:iCs w:val="1"/>
          <w:color w:val="auto"/>
        </w:rPr>
        <w:t>Enforceability of Judgment.</w:t>
      </w:r>
      <w:r>
        <w:rPr>
          <w:rFonts w:ascii="Times New Roman" w:cs="Times New Roman" w:eastAsia="Times New Roman" w:hAnsi="Times New Roman"/>
          <w:sz w:val="18"/>
          <w:szCs w:val="18"/>
          <w:color w:val="auto"/>
        </w:rPr>
        <w:t xml:space="preserve"> Any final judgment for a fixed or readily calculable sum of money rendered by a New York Court having jurisdiction under its own domestic laws in respect of any suit, action or proceeding against the Company based upon this Agreement or the Deposit Agreement and any instruments or agreements entered into for the consummation of the transactions contemplated herein and therein would be recognized and enforced against the Company in the courts of the Cayman Islands, Hong Kong and the PRC (as the case may be), without re-examination or review of the merits of the cause of action in respect of which the original judgment was given or re-litigation of the matters adjudicated upon, by the courts of the Cayman Islands, Hong Kong and PRC,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 respect to courts of the Cayman Islands,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and (ii) with respect to courts of the PRC, (A) adequate service of process has been effected and the defendant has had a reasonable opportunity to be heard, (B) such judgments or the enforcement thereof are not contrary to the law, public policy, security or sovereignty of the PRC, (C) such judgments were not obtained by fraudulent means and do not conflict with any other valid judgment in the same matter between the same parties and (D) an action between the same parties in the same matter is not pending in any PRC court at the time the lawsuit is instituted in a foreign court. The Company is not aware of any reason why the enforcement in the Cayman Islands, Hong Kong or the PRC of such a New York Court judgment would be, as of the date hereof, contrary to public policy of the Cayman Islands, Hong Kong or PRC.</w:t>
      </w: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2" w:right="379" w:bottom="1440" w:gutter="0" w:footer="0" w:header="0"/>
        </w:sectPr>
      </w:pPr>
    </w:p>
    <w:bookmarkStart w:id="25" w:name="page26"/>
    <w:bookmarkEnd w:id="25"/>
    <w:p>
      <w:pPr>
        <w:ind w:left="660" w:right="160" w:firstLine="648"/>
        <w:spacing w:after="0" w:line="315" w:lineRule="auto"/>
        <w:rPr>
          <w:sz w:val="20"/>
          <w:szCs w:val="20"/>
          <w:color w:val="auto"/>
        </w:rPr>
      </w:pPr>
      <w:r>
        <w:rPr>
          <w:rFonts w:ascii="Times New Roman" w:cs="Times New Roman" w:eastAsia="Times New Roman" w:hAnsi="Times New Roman"/>
          <w:sz w:val="17"/>
          <w:szCs w:val="17"/>
          <w:color w:val="auto"/>
        </w:rPr>
        <w:t>(lxviii)          </w:t>
      </w:r>
      <w:r>
        <w:rPr>
          <w:rFonts w:ascii="Times New Roman" w:cs="Times New Roman" w:eastAsia="Times New Roman" w:hAnsi="Times New Roman"/>
          <w:sz w:val="17"/>
          <w:szCs w:val="17"/>
          <w:i w:val="1"/>
          <w:iCs w:val="1"/>
          <w:color w:val="auto"/>
        </w:rPr>
        <w:t>Absence of Off-Balance Sheet Transactions</w:t>
      </w:r>
      <w:r>
        <w:rPr>
          <w:rFonts w:ascii="Times New Roman" w:cs="Times New Roman" w:eastAsia="Times New Roman" w:hAnsi="Times New Roman"/>
          <w:sz w:val="17"/>
          <w:szCs w:val="17"/>
          <w:color w:val="auto"/>
        </w:rPr>
        <w:t>. There are no material off-balance sheet transactions, arrangements, obligations (including contingent obligations) or other relationships of the Company or any of the Subsidiaries with unconsolidated entities or other persons.</w:t>
      </w:r>
    </w:p>
    <w:p>
      <w:pPr>
        <w:spacing w:after="0" w:line="135" w:lineRule="exact"/>
        <w:rPr>
          <w:sz w:val="20"/>
          <w:szCs w:val="20"/>
          <w:color w:val="auto"/>
        </w:rPr>
      </w:pPr>
    </w:p>
    <w:p>
      <w:pPr>
        <w:ind w:left="660" w:right="80" w:firstLine="648"/>
        <w:spacing w:after="0" w:line="267" w:lineRule="auto"/>
        <w:rPr>
          <w:sz w:val="20"/>
          <w:szCs w:val="20"/>
          <w:color w:val="auto"/>
        </w:rPr>
      </w:pPr>
      <w:r>
        <w:rPr>
          <w:rFonts w:ascii="Times New Roman" w:cs="Times New Roman" w:eastAsia="Times New Roman" w:hAnsi="Times New Roman"/>
          <w:sz w:val="18"/>
          <w:szCs w:val="18"/>
          <w:color w:val="auto"/>
        </w:rPr>
        <w:t>(lxix)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No forward-looking statement (within the meaning of Section 27A of the Act and Section 21E of the Exchange Act) contained in the Registration Statement, the General Disclosure Package and the Final Prospectus (including all amendments and supplements thereto) has been made or reaffirmed without a reasonable basis or has been disclosed other than in good faith.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(lxx)             </w:t>
      </w:r>
      <w:r>
        <w:rPr>
          <w:rFonts w:ascii="Times New Roman" w:cs="Times New Roman" w:eastAsia="Times New Roman" w:hAnsi="Times New Roman"/>
          <w:sz w:val="17"/>
          <w:szCs w:val="17"/>
          <w:i w:val="1"/>
          <w:iCs w:val="1"/>
          <w:color w:val="auto"/>
        </w:rPr>
        <w:t>FINRA Affiliations</w:t>
      </w:r>
      <w:r>
        <w:rPr>
          <w:rFonts w:ascii="Times New Roman" w:cs="Times New Roman" w:eastAsia="Times New Roman" w:hAnsi="Times New Roman"/>
          <w:sz w:val="17"/>
          <w:szCs w:val="17"/>
          <w:color w:val="auto"/>
        </w:rPr>
        <w:t>. There are no affiliations or associations between (i) any member of FINRA participating in this offering and</w:t>
      </w:r>
    </w:p>
    <w:p>
      <w:pPr>
        <w:spacing w:after="0" w:line="41" w:lineRule="exact"/>
        <w:rPr>
          <w:sz w:val="20"/>
          <w:szCs w:val="20"/>
          <w:color w:val="auto"/>
        </w:rPr>
      </w:pPr>
    </w:p>
    <w:p>
      <w:pPr>
        <w:ind w:left="660" w:right="60" w:hanging="4"/>
        <w:spacing w:after="0" w:line="255" w:lineRule="auto"/>
        <w:tabs>
          <w:tab w:leader="none" w:pos="9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the Subsidiaries or any of their respective officers, directors or 10% or greater security holders or any beneficial owner of the Company’s unregistered equity securities that were acquired at any time on or after the 180th day immediately preceding the initial filing date of the Registration Statement.</w:t>
      </w:r>
    </w:p>
    <w:p>
      <w:pPr>
        <w:spacing w:after="0" w:line="184" w:lineRule="exact"/>
        <w:rPr>
          <w:sz w:val="20"/>
          <w:szCs w:val="20"/>
          <w:color w:val="auto"/>
        </w:rPr>
      </w:pPr>
    </w:p>
    <w:p>
      <w:pPr>
        <w:jc w:val="both"/>
        <w:ind w:left="660" w:right="140" w:firstLine="648"/>
        <w:spacing w:after="0" w:line="267" w:lineRule="auto"/>
        <w:rPr>
          <w:sz w:val="20"/>
          <w:szCs w:val="20"/>
          <w:color w:val="auto"/>
        </w:rPr>
      </w:pPr>
      <w:r>
        <w:rPr>
          <w:rFonts w:ascii="Times New Roman" w:cs="Times New Roman" w:eastAsia="Times New Roman" w:hAnsi="Times New Roman"/>
          <w:sz w:val="18"/>
          <w:szCs w:val="18"/>
          <w:color w:val="auto"/>
        </w:rPr>
        <w:t>(lxxi)            </w:t>
      </w:r>
      <w:r>
        <w:rPr>
          <w:rFonts w:ascii="Times New Roman" w:cs="Times New Roman" w:eastAsia="Times New Roman" w:hAnsi="Times New Roman"/>
          <w:sz w:val="18"/>
          <w:szCs w:val="18"/>
          <w:i w:val="1"/>
          <w:iCs w:val="1"/>
          <w:color w:val="auto"/>
        </w:rPr>
        <w:t>Representation of Officers and/or Directors.</w:t>
      </w:r>
      <w:r>
        <w:rPr>
          <w:rFonts w:ascii="Times New Roman" w:cs="Times New Roman" w:eastAsia="Times New Roman" w:hAnsi="Times New Roman"/>
          <w:sz w:val="18"/>
          <w:szCs w:val="18"/>
          <w:color w:val="auto"/>
        </w:rPr>
        <w:t xml:space="preserve"> Any certificate signed by any officer or director of the Company and delivered to the Representatives or counsel for the Underwriters as required or contemplated by this Agreement shall constitute a representation and warranty hereunder by the Company, as to matters covered thereby, to each Underwriter.</w:t>
      </w:r>
    </w:p>
    <w:p>
      <w:pPr>
        <w:spacing w:after="0" w:line="17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Purchase, Sale and Delivery of Offered Shares</w:t>
      </w:r>
      <w:r>
        <w:rPr>
          <w:rFonts w:ascii="Times New Roman" w:cs="Times New Roman" w:eastAsia="Times New Roman" w:hAnsi="Times New Roman"/>
          <w:sz w:val="18"/>
          <w:szCs w:val="18"/>
          <w:color w:val="auto"/>
        </w:rPr>
        <w:t xml:space="preserve">. On the basis of the representations, warranties and agreements and subject to the terms and conditions set forth herein, the Company agrees to sell to each Underwriter, and each Underwriter agrees, severally and not jointly, to purchase from the Company, at a purchase price of US$3.525 per ADS, that number of Offered Shares set forth opposite the name of such Underwriter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(rounded up or down, as determined by the Representatives in their discretion, in order to avoid fractions).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deliver the Offered Shares to or as instructed by the Representatives for the accounts of the several Underwriters through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facilities of the Depositary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in a form reasonably acceptable to the Representatives against payment of the purchase price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(same day) funds by official bank check or checks or wire transfer to an account at a bank acceptable to the Representatives drawn to the order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for itself, at 9:00 a.m., New York City time, on April 6, 2026, such time being herein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15c6-1 under the Securities Exchange Act of 1934, the Closing Date (if later than the otherwise applicable settlement date) shall be the settlement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payment of funds and delivery of securities for all the Offered Shares sold pursuant to the offering.</w:t>
      </w:r>
    </w:p>
    <w:p>
      <w:pPr>
        <w:spacing w:after="0" w:line="20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propose to offer the Offered Shares for sale to the public as set forth in the Final Prospectus.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Certain Agreements of the Company. (a) The Company agrees with the several Underwriters that:</w:t>
      </w:r>
    </w:p>
    <w:p>
      <w:pPr>
        <w:spacing w:after="0" w:line="223" w:lineRule="exact"/>
        <w:rPr>
          <w:sz w:val="20"/>
          <w:szCs w:val="20"/>
          <w:color w:val="auto"/>
        </w:rPr>
      </w:pPr>
    </w:p>
    <w:p>
      <w:pPr>
        <w:ind w:left="660" w:right="20" w:firstLine="648"/>
        <w:spacing w:after="0" w:line="281" w:lineRule="auto"/>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i w:val="1"/>
          <w:iCs w:val="1"/>
          <w:color w:val="auto"/>
        </w:rPr>
        <w:t>Filing of Prospectuses.</w:t>
      </w:r>
      <w:r>
        <w:rPr>
          <w:rFonts w:ascii="Times New Roman" w:cs="Times New Roman" w:eastAsia="Times New Roman" w:hAnsi="Times New Roman"/>
          <w:sz w:val="17"/>
          <w:szCs w:val="17"/>
          <w:color w:val="auto"/>
        </w:rPr>
        <w:t xml:space="preserve"> The Company will file the Final Prospectus, in a form approved by the Representatives, with the Commission pursuant to and in accordance with subparagraph (2) (or, if applicable and if consented to by the Representatives, subparagraph (5)) of Rule 424(b) not later than the second business day following the execution and delivery of this Agreement. The Company will advise the Representatives promptly of any such filing pursuant to Rule 424(b) and provide satisfactory evidence to the Representatives of such timely filing.</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firstLine="648"/>
        <w:spacing w:after="0" w:line="270" w:lineRule="auto"/>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i w:val="1"/>
          <w:iCs w:val="1"/>
          <w:color w:val="auto"/>
        </w:rPr>
        <w:t>Filing of Amendments: Response to Commission Requests.</w:t>
      </w:r>
      <w:r>
        <w:rPr>
          <w:rFonts w:ascii="Times New Roman" w:cs="Times New Roman" w:eastAsia="Times New Roman" w:hAnsi="Times New Roman"/>
          <w:sz w:val="17"/>
          <w:szCs w:val="17"/>
          <w:color w:val="auto"/>
        </w:rPr>
        <w:t xml:space="preserve"> The Company will promptly advise the Representatives of any proposal to amend or supplement at any time the Registration Statement, the ADS Registration Statement, any Exchange Act Registration Statement or any Statutory Prospectus and will not effect such amendment or supplementation without the Representatives’ consent (which consent shall not be unreasonably withheld or delayed); and the Company will also advise the Representatives promptly of (i) any amendment or supplementation of the Registration Statement, the ADS Registration Statement, any Exchange Act Registration Statement or any Statutory Prospectus, (ii) any request by the Commission or its staff for any amendment to the Registration Statement, any Exchange Act Registration Statement or the ADS Registration Statement, for any supplement to any Statutory Prospectus or for any additional information, (iii) the institution by the Commission of any stop order proceedings in respect of the Registration Statement or the threatening of any proceeding for that purpose or pursuant to Section 8A of the Act, and (iv) the receipt by the Company of any notification with respect to the suspension of the qualification of the Offered Shares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17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xml:space="preserve"> The Company will comply with and will require the Company’s directors and executive officers, in their capacities as such, to comply with all applicable Securities Laws, rules and regulations, including, without limitation, Sarbanes-Oxley. If, at any time when a prospectus relating to the Offered Shares is (or but for the exemption 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If at any time prior to the Closing Date (a) any event or development shall occur or condition shall exist as a result of which the General Disclosure Package as then amended or supplemented would include any untrue statement of a material fact or omit to state any material fact necessary in order to make the statements therein, in the light of the circumstances existing when the General Disclosure Package is delivered to a purchaser, not misleading or (b) it is necessary to amend or supplement the General Disclosure Package to comply with law, the Company will immediately notify the Underwriters thereof and forthwith prepare and, subject to paragraph (ii)) above, file with the Commission (to the extent required) and furnish to the Underwriters and to such dealers as the Representatives may designate, such amendments or supplements to the General Disclosure Package as may be necessary so that the statements in the General Disclosure Package as so amended or supplemented will not, in the light of the circumstances existing when the General Disclosure Package is delivered to a purchaser, be misleading or so that the General Disclosure Package will comply with law. Neither the Representatives’ consent to, nor the Underwriters’ delivery of, any such amendment or supplement shall constitute a waiver of any of the conditions set forth in Section 7 hereof.</w:t>
      </w:r>
    </w:p>
    <w:p>
      <w:pPr>
        <w:spacing w:after="0" w:line="19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xml:space="preserve"> As soon as practicable, but not later than 16 months after the Effective Date of the Registration Statement (as defined in Rule 158(c) under the Act), the Company will make generally available to its security holders an earnings statement covering a period of at least 12 months beginning after the Effective Date of the Registration Statement which will satisfy the provisions of Section 11(a) of the Act and the rules and regulations of the Commission thereunder (including but not limited to, Rule 158 under the Act).</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Furnishing of Prospectuses.</w:t>
      </w:r>
      <w:r>
        <w:rPr>
          <w:rFonts w:ascii="Times New Roman" w:cs="Times New Roman" w:eastAsia="Times New Roman" w:hAnsi="Times New Roman"/>
          <w:sz w:val="18"/>
          <w:szCs w:val="18"/>
          <w:color w:val="auto"/>
        </w:rPr>
        <w:t xml:space="preserve"> The Company will furnish to the Representatives copies of each Registration Statement (including such number of copies that will be signed and will include all exhibits thereto and documents incorporated by reference therein), each related Statutory Prospectus, and, so long as a prospectus relating to the Offered Shares is (or but for the exemption in Rule 172 would be) required to be delivered under the Act, the Final Prospectus, any documents incorporated by reference therein and all amendments and supplements to such documents, in each case in such quantities as the Representatives request. The Final Prospectus shall be so furnished on or prior to 5:00 P.M., New York time, on the second business day following the execution and delivery of this Agreement. All other such documents shall be so furnished as soon as available. The Company will pay the expenses of printing and distributing to the Underwriters all such documents.</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7" w:name="page28"/>
    <w:bookmarkEnd w:id="27"/>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xml:space="preserve"> The Company will arrange for the qualification of the Offered Shares for sale under the laws of such jurisdictions as the Representatives designate and will continue such qualifications in effect so long as required for the distribution.</w:t>
      </w:r>
    </w:p>
    <w:p>
      <w:pPr>
        <w:spacing w:after="0" w:line="158" w:lineRule="exact"/>
        <w:rPr>
          <w:sz w:val="20"/>
          <w:szCs w:val="20"/>
          <w:color w:val="auto"/>
        </w:rPr>
      </w:pPr>
    </w:p>
    <w:p>
      <w:pPr>
        <w:ind w:right="160" w:firstLine="648"/>
        <w:spacing w:after="0" w:line="273" w:lineRule="auto"/>
        <w:rPr>
          <w:sz w:val="20"/>
          <w:szCs w:val="20"/>
          <w:color w:val="auto"/>
        </w:rPr>
      </w:pPr>
      <w:r>
        <w:rPr>
          <w:rFonts w:ascii="Times New Roman" w:cs="Times New Roman" w:eastAsia="Times New Roman" w:hAnsi="Times New Roman"/>
          <w:sz w:val="17"/>
          <w:szCs w:val="17"/>
          <w:color w:val="auto"/>
        </w:rPr>
        <w:t>(vii)            </w:t>
      </w:r>
      <w:r>
        <w:rPr>
          <w:rFonts w:ascii="Times New Roman" w:cs="Times New Roman" w:eastAsia="Times New Roman" w:hAnsi="Times New Roman"/>
          <w:sz w:val="17"/>
          <w:szCs w:val="17"/>
          <w:i w:val="1"/>
          <w:iCs w:val="1"/>
          <w:color w:val="auto"/>
        </w:rPr>
        <w:t>Reporting Requirements.</w:t>
      </w:r>
      <w:r>
        <w:rPr>
          <w:rFonts w:ascii="Times New Roman" w:cs="Times New Roman" w:eastAsia="Times New Roman" w:hAnsi="Times New Roman"/>
          <w:sz w:val="17"/>
          <w:szCs w:val="17"/>
          <w:color w:val="auto"/>
        </w:rPr>
        <w:t xml:space="preserve"> During the period of five years hereafter, the Company will furnish to the Representatives and, upon request, to each of the other Underwriters, as soon as practicable after the end of each fiscal year, a copy of its annual report to shareholders for such year; and the Company will furnish to the Representatives (i) as soon as available,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Times New Roman" w:cs="Times New Roman" w:eastAsia="Times New Roman" w:hAnsi="Times New Roman"/>
          <w:sz w:val="17"/>
          <w:szCs w:val="17"/>
          <w:b w:val="1"/>
          <w:bCs w:val="1"/>
          <w:color w:val="auto"/>
        </w:rPr>
        <w:t>EDGAR</w:t>
      </w:r>
      <w:r>
        <w:rPr>
          <w:rFonts w:ascii="Times New Roman" w:cs="Times New Roman" w:eastAsia="Times New Roman" w:hAnsi="Times New Roman"/>
          <w:sz w:val="17"/>
          <w:szCs w:val="17"/>
          <w:color w:val="auto"/>
        </w:rPr>
        <w:t>”), it is not required to furnish such reports or statements to the Underwriters.</w:t>
      </w:r>
    </w:p>
    <w:p>
      <w:pPr>
        <w:spacing w:after="0" w:line="17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xml:space="preserve">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(A) of the Company’s counsel and the Company’s accountants, (B) in connection with the registration and delivery of the Ordinary Shares and the ADSs under the Act and (C) in connection with the preparation and filing of the Registration Statement, the ADS Registration Statement, the Exchange Act Registration Statement, any preliminary prospectus, the Final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Offered Shares and the ADSs to the Underwriters, including any transfer or other similar taxes payable thereon, (iii) the cost of printing or producing any Blue Sky or Legal Investment memorandum in connection with the offer and sale of the Offered Shares or the ADSs under state securities laws and all expenses in connection with the qualification of the Offered Shares and the ADSs for offer and sale under state securities laws as provided in subsection (vi) of this Section, including filing fees, reasonable fees, expenses and disbursements of counsel for the Underwriters in connection with such qualification and in connection with the Blue Sky or Legal Investment memorandum, (iv) all filing fees in connection with the review and qualification of the offering of the Offered Shares by FINRA, (v) fees and disbursements of counsel incurred by the Underwriters in connection with the review and qualification of the offering of the Offered Shares by FINRA not exceeding US$25,000, (vi) all costs and expenses incident to listing the Offered Shares on Nasdaq, (vii) the cost of preparing and printing certificates representing the Offered Shares or the ADSs, (viii) the costs and charges of any transfer agent, registrar or depositary, (ix) the costs and expenses of the Company relating to investor presentations, testing-the-waters presentations or any “road show” undertaken in connection with the marketing of the offering and sale of the Offered Shares, including, without limitation, travel, meals and lodging expenses of the representatives and officers of the Company and the cost of any aircraft chartered, (x) the document production charges and expenses associated with printing this Agreement and (xi) all other costs and expenses incident to the performance of the obligations of the Company hereunder for which provision is not otherwise made in this Section. It is understood, however, that except as provided in this Section, Section 8 entitled “Indemnification and Contribution” and Section 9 below, the Underwriters will pay all of their costs and expenses, including, the fees and disbursements of their counsel and share transfer taxes payable on resale of any of the Shares by them and any advertising expenses connected with any offers they may make.</w:t>
      </w:r>
    </w:p>
    <w:p>
      <w:pPr>
        <w:spacing w:after="0" w:line="200" w:lineRule="exact"/>
        <w:rPr>
          <w:sz w:val="20"/>
          <w:szCs w:val="20"/>
          <w:color w:val="auto"/>
        </w:rPr>
      </w:pPr>
    </w:p>
    <w:p>
      <w:pPr>
        <w:spacing w:after="0" w:line="2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8" w:name="page29"/>
    <w:bookmarkEnd w:id="28"/>
    <w:p>
      <w:pPr>
        <w:ind w:firstLine="648"/>
        <w:spacing w:after="0" w:line="255"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 will use the net proceeds received by it in connection with this offering in the manner described in the “Use of Proceeds” section of the Registration Statement, the General Disclosure Package and the Final Prospectus, and file such reports with the Commission with respect to the sale of the Offered Shares and the application of the proceeds therefrom as may be required by Rule 463 under the Securities Act, and the Company does not intend to use any of the proceeds from the sale of the Offered Shares hereunder to repay any outstanding debt owed to any affiliate of any Underwriter; the Company will not invest or otherwise use the proceeds received by the Company from its sale of the American Depositary Shares in such a manner (i) as would require the Company or any of the Subsidiaries to register as an investment company under the 1940 Act, and (ii) that would result in the Company being not in compliance with any applicable laws, rules and regulations of the State Administration of Foreign Exchange of the PRC.</w:t>
      </w:r>
    </w:p>
    <w:p>
      <w:pPr>
        <w:spacing w:after="0" w:line="185"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xml:space="preserve"> The Company will not take, and not cause each of the Subsidiaries to take, directly or indirectly, any action designed to or that would constitute or that might reasonably be expected to cause or result in, stabilization or manipulation of the price of any securities of the Company to facilitate the sale or resale of the Offered Shares or the Ordinary Shares represented thereby.</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(xi)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The Company will indemnify and hold harmless the Underwriters against any transfer, documentary, stamp or similar issue tax, including any interest and penalties, on the creation, issue and sale of the Offered Shares by the Company in the manner contemplated in this Agreement and on the execution and delivery of this Agreement and the Deposit Agreement. All payments to be made by the Company hereunder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 provided that the Company shall not be required to pay additional amounts for any withholding or deduction that would not have been imposed but for (i) any present or former connection between an Underwriter and the jurisdiction imposing the taxes, duties or charges (other than a connection arising solely as a result of entering into this Agreement or the consummation of the transactions contemplated hereunder), or (ii) the failure of an Underwriter to timely provide upon request any certification, documentation or form to the extent necessary in order to eliminate or reduce such withholding or deduction. In addition, all sums payable to an Underwriter hereunder shall be considered exclusive of any value added tax and the associated surcharge taxes or similar taxes. Where the Company is obliged to pay value added tax and the associated surcharge taxes or similar tax on any amount payable hereunder to an Underwriter, the Company shall, in addition to the sum payable hereunder, pay an amount equal to any applicable value-added tax and the associated surcharge taxes or similar tax against presentation of tax withholding certificate.</w:t>
      </w:r>
    </w:p>
    <w:p>
      <w:pPr>
        <w:spacing w:after="0" w:line="19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(xii)            </w:t>
      </w:r>
      <w:r>
        <w:rPr>
          <w:rFonts w:ascii="Times New Roman" w:cs="Times New Roman" w:eastAsia="Times New Roman" w:hAnsi="Times New Roman"/>
          <w:sz w:val="18"/>
          <w:szCs w:val="18"/>
          <w:i w:val="1"/>
          <w:iCs w:val="1"/>
          <w:color w:val="auto"/>
        </w:rPr>
        <w:t>Restriction on Sale of Shares by the Company</w:t>
      </w:r>
      <w:r>
        <w:rPr>
          <w:rFonts w:ascii="Times New Roman" w:cs="Times New Roman" w:eastAsia="Times New Roman" w:hAnsi="Times New Roman"/>
          <w:sz w:val="18"/>
          <w:szCs w:val="18"/>
          <w:color w:val="auto"/>
        </w:rPr>
        <w:t>. For the period specified below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Company will not, directly or indirectly, take any of the following actions with respect to its ordinary shares or American Depositary Shares or any securities convertible into or exchangeable or exercisable for any of its ordinary shares or American Depositary Shares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(i) offer, sell, issue, pledge, lend, contract to sell, or otherwise dispose of any Lock-Up Securities, (ii) offer, sell, issue, contract to sell, contract to purchase or grant any option, right or warrant to purchase any Lock-Up Securities, (iii) enter into any swap, hedge or any other agreement that transfers, in whole or in part, the economic consequences of ownership of any Lock-Up Securities, whether any such swap or transaction described in clause (i), (ii) or (iii) above is to be settled by delivery of ADSs or ordinary shares or such other securities, in cash or otherwise, (iv) establish or increase a put equivalent position or liquidate or decrease a call equivalent position in any Lock-Up Securities within the meaning of Section 16 of the Exchange Act, (v) submit or file with the Commission a registration statement under the Act relating to any Lock-Up Securities, or (vi) publicly disclose the intention to take any such action described in clauses (i) to (v) above, without the prior written consent of the Representatives. The foregoing sentence shall not apply to (A) the Offered Shares to be sold hereunder, (B) any ADSs or Ordinary Shares issued by the Company upon the exercise of an option or warrant or the conversion or exchange of convertible or exchangeable securities outstanding on the date hereof and referred to in the Registration Statement, the General Disclosure Package and the Final Prospectus, or (C) any ADSs or Ordinary Shares issued or restricted shares, restricted share units or options to purchase ADSs or ordinary shares granted pursuant to existing employee benefit plans of the Company referred to in the Registration Statement, the General Disclosure Package and the Final Prospectus, (D) the establishment of a trading plan pursuant to Rule 10b5-1 under the Exchange Act for the transfer of Ordinary Shares or ADSs of the Company, provided that (a) such plan does not provide for the transfer of the Lock-up Securities during the Lock-up Period and (b) no public announcement or filing under the Exchange Act is required of or voluntarily made by or on behalf of the Company regarding the establishment of such plan, (E) the filing of any registration statement on Form S-8, (F) any ADSs issued and sold pursuant to the Company’s existing “at-the-market” offering under the prospectus supplement dated May 30, 2025 beginning on the 31st day following the date hereof or (G) any securities convertible into or exchangeable or exercisable for any of its ordinary shares or American Depositary Shares issued pursuant to the Securities Purchase Agreement dated June 30, 2025, as in effect as of the date hereof. The initial Lock-Up Period will commence on the date hereof and continue for 60 days after the date hereof or such earlier date that the Representatives consent to in writing.</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9" w:name="page30"/>
    <w:bookmarkEnd w:id="29"/>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(xiii)            </w:t>
      </w:r>
      <w:r>
        <w:rPr>
          <w:rFonts w:ascii="Times New Roman" w:cs="Times New Roman" w:eastAsia="Times New Roman" w:hAnsi="Times New Roman"/>
          <w:sz w:val="18"/>
          <w:szCs w:val="18"/>
          <w:i w:val="1"/>
          <w:iCs w:val="1"/>
          <w:color w:val="auto"/>
        </w:rPr>
        <w:t>Compliance with Deposit Agreement.</w:t>
      </w:r>
      <w:r>
        <w:rPr>
          <w:rFonts w:ascii="Times New Roman" w:cs="Times New Roman" w:eastAsia="Times New Roman" w:hAnsi="Times New Roman"/>
          <w:sz w:val="18"/>
          <w:szCs w:val="18"/>
          <w:color w:val="auto"/>
        </w:rPr>
        <w:t xml:space="preserve"> The Company will comply with the terms of the Deposit Agreement and deposit the Ordinary Shares with the Depository so that the American Depositary Shares will be issued by the Depositary and delivered to each Underwriter’s participant account in DTC, pursuant to this Agreement on the Closing Date.</w:t>
      </w:r>
    </w:p>
    <w:p>
      <w:pPr>
        <w:spacing w:after="0" w:line="173"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(xiv)            </w:t>
      </w:r>
      <w:r>
        <w:rPr>
          <w:rFonts w:ascii="Times New Roman" w:cs="Times New Roman" w:eastAsia="Times New Roman" w:hAnsi="Times New Roman"/>
          <w:sz w:val="18"/>
          <w:szCs w:val="18"/>
          <w:i w:val="1"/>
          <w:iCs w:val="1"/>
          <w:color w:val="auto"/>
        </w:rPr>
        <w:t>Cayman Islands Matters.</w:t>
      </w:r>
      <w:r>
        <w:rPr>
          <w:rFonts w:ascii="Times New Roman" w:cs="Times New Roman" w:eastAsia="Times New Roman" w:hAnsi="Times New Roman"/>
          <w:sz w:val="18"/>
          <w:szCs w:val="18"/>
          <w:color w:val="auto"/>
        </w:rPr>
        <w:t xml:space="preserve"> (i) The Company will not attempt to avoid any judgment obtained by it in a court of competent jurisdiction outside the Cayman Islands; (ii) following the consummation of the offering of the Offered Shares, to use its reasonable efforts to obtain and maintain all approvals required in the Cayman Islands to pay and remit outside the Cayman Islands all dividends declared by the Company and payable on the Ordinary Shares, if any; and (iii) to use its best efforts to obtain and maintain all approvals, if any, required in the Cayman Islands for the Company to acquire sufficient foreign exchange for the payment of dividends and all other relevant purposes.</w:t>
      </w:r>
    </w:p>
    <w:p>
      <w:pPr>
        <w:spacing w:after="0" w:line="18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(xv)             </w:t>
      </w:r>
      <w:r>
        <w:rPr>
          <w:rFonts w:ascii="Times New Roman" w:cs="Times New Roman" w:eastAsia="Times New Roman" w:hAnsi="Times New Roman"/>
          <w:sz w:val="18"/>
          <w:szCs w:val="18"/>
          <w:i w:val="1"/>
          <w:iCs w:val="1"/>
          <w:color w:val="auto"/>
        </w:rPr>
        <w:t>PRC Legal Compliance.</w:t>
      </w:r>
      <w:r>
        <w:rPr>
          <w:rFonts w:ascii="Times New Roman" w:cs="Times New Roman" w:eastAsia="Times New Roman" w:hAnsi="Times New Roman"/>
          <w:sz w:val="18"/>
          <w:szCs w:val="18"/>
          <w:color w:val="auto"/>
        </w:rPr>
        <w:t xml:space="preserve"> The Company will comply with the PRC Overseas Investment and Listing Regulations, and to use its reasonable efforts to cause its shareholders that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The Company will use reasonable commercial efforts to rectify or cure any non-compliance, and maintain continuing compliance with PRC laws and regulations in all material respects.</w:t>
      </w:r>
    </w:p>
    <w:p>
      <w:pPr>
        <w:spacing w:after="0" w:line="182"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(xvi)            </w:t>
      </w: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xml:space="preserve"> The Company will promptly notify the Representatives if the Company ceases to be an Emerging Growth Company at any time prior to the later of (a) completion of the distribution of the Offered Shares within the meaning of the Act and (b) completion of the Lock-up Period.</w:t>
      </w:r>
    </w:p>
    <w:p>
      <w:pPr>
        <w:spacing w:after="0" w:line="17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(xvii)            </w:t>
      </w:r>
      <w:r>
        <w:rPr>
          <w:rFonts w:ascii="Times New Roman" w:cs="Times New Roman" w:eastAsia="Times New Roman" w:hAnsi="Times New Roman"/>
          <w:sz w:val="18"/>
          <w:szCs w:val="18"/>
          <w:i w:val="1"/>
          <w:iCs w:val="1"/>
          <w:color w:val="auto"/>
        </w:rPr>
        <w:t>Sale of Offered Shares.</w:t>
      </w:r>
      <w:r>
        <w:rPr>
          <w:rFonts w:ascii="Times New Roman" w:cs="Times New Roman" w:eastAsia="Times New Roman" w:hAnsi="Times New Roman"/>
          <w:sz w:val="18"/>
          <w:szCs w:val="18"/>
          <w:color w:val="auto"/>
        </w:rPr>
        <w:t xml:space="preserve"> The Company agrees not to, at any time at or after the execution of this Agreement, directly or indirectly, offer or sell any Offered Shares or Ordinary Shares represented thereby by means of any “prospectus” (within the meaning of the Securities Act), or use any “prospectus” (within the meaning of the Securities Act) in connection with the offer or sale of the Offered Shares or Ordinary Shares represented thereby, in each case other than the Final Prospectus.</w:t>
      </w:r>
    </w:p>
    <w:p>
      <w:pPr>
        <w:spacing w:after="0" w:line="18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(xviii)           </w:t>
      </w: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 Writing Prospectus that is not filed with the Commission in accordance with Rule 433 under the Securities Act.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(xix)            </w:t>
      </w:r>
      <w:r>
        <w:rPr>
          <w:rFonts w:ascii="Times New Roman" w:cs="Times New Roman" w:eastAsia="Times New Roman" w:hAnsi="Times New Roman"/>
          <w:sz w:val="18"/>
          <w:szCs w:val="18"/>
          <w:i w:val="1"/>
          <w:iCs w:val="1"/>
          <w:color w:val="auto"/>
        </w:rPr>
        <w:t>Post-Closing CSRC Filing Report</w:t>
      </w:r>
      <w:r>
        <w:rPr>
          <w:rFonts w:ascii="Times New Roman" w:cs="Times New Roman" w:eastAsia="Times New Roman" w:hAnsi="Times New Roman"/>
          <w:sz w:val="18"/>
          <w:szCs w:val="18"/>
          <w:color w:val="auto"/>
        </w:rPr>
        <w:t>. The Company shall complete a Post-Closing CSRC Filing Report with the CSRC to be made within three (3) business days in the PRC after the Closing Date in accordance with the CSRC Filing Rules, and to furnish the Underwriters with a copy of the Post-Closing CSRC Filing Report.</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30" w:name="page31"/>
    <w:bookmarkEnd w:id="30"/>
    <w:p>
      <w:pPr>
        <w:ind w:right="120" w:firstLine="648"/>
        <w:spacing w:after="0" w:line="269"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i w:val="1"/>
          <w:iCs w:val="1"/>
          <w:color w:val="auto"/>
        </w:rPr>
        <w:t>Free Writing Prospectuses</w:t>
      </w:r>
      <w:r>
        <w:rPr>
          <w:rFonts w:ascii="Times New Roman" w:cs="Times New Roman" w:eastAsia="Times New Roman" w:hAnsi="Times New Roman"/>
          <w:sz w:val="17"/>
          <w:szCs w:val="17"/>
          <w:color w:val="auto"/>
        </w:rPr>
        <w:t>. The Company represents and agrees that, unless it obtains the prior consent of the Representatives, and each Underwriter represents and agrees that, unless it obtains the prior consent of the Company and the Representatives, it has not made and will not make any offer relating to the Offered Shares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“Permitted Free Writing Prospectus.” The Company represents that it has treated and agrees that it will treat each Permitted Free Writing Prospectus as an “issuer free writing prospectus,” as defined in Rule 433, and has complied and will comply with the requirements of</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Offered Shares on the Closing Date will be subject to the accuracy of the representations and warranties of the Company herein on the date hereof and on and as of the Closing Date, to the accuracy of the statements of Company officers made pursuant to the provisions hereof on the date hereof and on and as of the Closing Date, to the performance by the Company of its obligations hereunder and to the following additional conditions precedent:</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xml:space="preserve"> The Representatives shall have received letters, dated, respectively, the date hereof and the Closing Date, of PwC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Final Prospectus.</w:t>
      </w:r>
    </w:p>
    <w:p>
      <w:pPr>
        <w:spacing w:after="0" w:line="180"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xml:space="preserve"> The Registration Statement, the ADS Registration Statement and the Exchange Act Registration Statement remain effective on the date of this Agreement and no stop order suspending the effectiveness of the Registration Statement or the ADS Registration Statement shall have been issued under the Act or the Exchange Act, as the case may be, or proceedings for that purpose or pursuant to Section 8A under the Act shall have been instituted or threatened or, to the best of the Company’s knowledge, shall be contemplated by the Commission, and any request on the part of the Commission for additional information shall have been complied with to the reasonable satisfaction of counsel to the Underwriters. A prospectus containing the Rule 430 Information shall have been filed with the Commission in the manner and within the time frame required by Rule 424(b) without reliance on Rule 424(b)(8) or a post-effective amendment providing such information shall have been filed and declared effective in accordance with the requirements of Rule 430.</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Subsequent to the execution and delivery of this Agreement, there shall not have occurred (i) any change, or any development or event involving a prospective change, in the condition (financial or otherwise), results of operations, shareholders’ equity, business, management, properties or prospects of the Company and the Subsidiaries taken as a whole which, in the judgment of the Representatives, is material and adverse and makes it impracticable or inadvisable to market the Offered Shares; (ii) any downgrading in the rating of any securities of the Company or any of the Subsidiaries by any “nationally recognized statistical rating organization” (as defined for purposes of Rule 436(g)); (iii) any change in either U.S., or PRC or international financial, political or economic conditions or currency exchange rates or exchange controls the effect of which is such as to make it, in the judgment of the Representatives, impracticable or inadvisable to market or to enforce contracts for the sale of the Offered Shares, whether in the primary market or in respect of dealings in the secondary market; (iv) any suspension or material limitation of trading in securities generally on the NYSE, Nasdaq, or any setting of minimum or maximum prices for trading on such exchange; (v) or any suspension of trading of any securities of the Company on any exchange or in the over-the-counter market; (vi) any banking moratorium declared by any U.S. federal or PRC authorities; (vii) any major disruption of settlements of securities, payment or clearance services in the United States, the PRC or any other country where such securities are listed or (viii) any attack on, outbreak or escalation of hostilities or act of terrorism involving the United States or the PRC, any declaration of war by Congress or any other national or international calamity or emergency if, in the judgment of the Representatives, the effect of any such attack, outbreak, escalation, act, declaration, calamity or emergency is such as to make it impracticable or inadvisable to market the Offered Shares or to enforce contracts for the sale of the Offered Shares.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right="440" w:firstLine="648"/>
        <w:spacing w:after="0" w:line="315"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i w:val="1"/>
          <w:iCs w:val="1"/>
          <w:color w:val="auto"/>
        </w:rPr>
        <w:t>Opinion of U.S. Counsel for the Company.</w:t>
      </w:r>
      <w:r>
        <w:rPr>
          <w:rFonts w:ascii="Times New Roman" w:cs="Times New Roman" w:eastAsia="Times New Roman" w:hAnsi="Times New Roman"/>
          <w:sz w:val="17"/>
          <w:szCs w:val="17"/>
          <w:color w:val="auto"/>
        </w:rPr>
        <w:t xml:space="preserve"> The Representatives shall have received an opinion and negative assurance letter of Davis, Polk &amp; Wardwell LLP, U.S. counsel for the Company, dated the Closing Date, in form and substance reasonably satisfactory to the Representatives.</w:t>
      </w:r>
    </w:p>
    <w:p>
      <w:pPr>
        <w:spacing w:after="0" w:line="135"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Opinion of Hong Kong Counsel for the Company</w:t>
      </w:r>
      <w:r>
        <w:rPr>
          <w:rFonts w:ascii="Times New Roman" w:cs="Times New Roman" w:eastAsia="Times New Roman" w:hAnsi="Times New Roman"/>
          <w:sz w:val="18"/>
          <w:szCs w:val="18"/>
          <w:color w:val="auto"/>
        </w:rPr>
        <w:t>. The Representatives shall have received an opinion of Davis, Polk &amp; Wardwell LLP, Hong Kong counsel for the Company, dated the Closing Date, in form and substance reasonably satisfactory to the Representatives.</w:t>
      </w:r>
    </w:p>
    <w:p>
      <w:pPr>
        <w:spacing w:after="0" w:line="158"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Opinion of Cayman Islands Counsel for the Company.</w:t>
      </w:r>
      <w:r>
        <w:rPr>
          <w:rFonts w:ascii="Times New Roman" w:cs="Times New Roman" w:eastAsia="Times New Roman" w:hAnsi="Times New Roman"/>
          <w:sz w:val="18"/>
          <w:szCs w:val="18"/>
          <w:color w:val="auto"/>
        </w:rPr>
        <w:t xml:space="preserve"> The Representatives shall have received an opinion of Walkers (Hong Kong), Cayman Islands counsel for the Company, dated the Closing Date, in form and substance reasonably satisfactory to the Representatives.</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Opinion of PRC Counsel for the Company.</w:t>
      </w:r>
      <w:r>
        <w:rPr>
          <w:rFonts w:ascii="Times New Roman" w:cs="Times New Roman" w:eastAsia="Times New Roman" w:hAnsi="Times New Roman"/>
          <w:sz w:val="18"/>
          <w:szCs w:val="18"/>
          <w:color w:val="auto"/>
        </w:rPr>
        <w:t xml:space="preserve"> The Representatives shall have received an opinion of Jingtian &amp; Gongcheng, PRC counsel for the Company, dated the Closing Date, in form and substance reasonably satisfactory to the Representatives.</w:t>
      </w:r>
    </w:p>
    <w:p>
      <w:pPr>
        <w:spacing w:after="0" w:line="158" w:lineRule="exact"/>
        <w:rPr>
          <w:sz w:val="20"/>
          <w:szCs w:val="20"/>
          <w:color w:val="auto"/>
        </w:rPr>
      </w:pPr>
    </w:p>
    <w:p>
      <w:pPr>
        <w:jc w:val="both"/>
        <w:ind w:right="140" w:firstLine="648"/>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Opinions of Intellectual Property Counsel for the Company</w:t>
      </w:r>
      <w:r>
        <w:rPr>
          <w:rFonts w:ascii="Times New Roman" w:cs="Times New Roman" w:eastAsia="Times New Roman" w:hAnsi="Times New Roman"/>
          <w:sz w:val="18"/>
          <w:szCs w:val="18"/>
          <w:color w:val="auto"/>
        </w:rPr>
        <w:t>. Wu, Feng &amp;Zhang, intellectual property counsel for the Company, shall have furnished to the Representatives their written opinions, dated the Closing Date or such Additional Closing Date, as the case may be, and addressed to the Underwriters, in form and substance reasonably satisfactory to the Representatives.</w:t>
      </w:r>
    </w:p>
    <w:p>
      <w:pPr>
        <w:spacing w:after="0" w:line="173"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Opinion of U.S. Counsel for Underwriters.</w:t>
      </w:r>
      <w:r>
        <w:rPr>
          <w:rFonts w:ascii="Times New Roman" w:cs="Times New Roman" w:eastAsia="Times New Roman" w:hAnsi="Times New Roman"/>
          <w:sz w:val="18"/>
          <w:szCs w:val="18"/>
          <w:color w:val="auto"/>
        </w:rPr>
        <w:t xml:space="preserve"> The Representatives shall have received an opinion and negative assurance letter of Latham &amp; Watkins LLP, U.S. counsel for the Underwriters, dated the Closing Date, in form and substance reasonably satisfactory to the Representatives.</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Opinion of Depositary’s Counsel.</w:t>
      </w:r>
      <w:r>
        <w:rPr>
          <w:rFonts w:ascii="Times New Roman" w:cs="Times New Roman" w:eastAsia="Times New Roman" w:hAnsi="Times New Roman"/>
          <w:sz w:val="18"/>
          <w:szCs w:val="18"/>
          <w:color w:val="auto"/>
        </w:rPr>
        <w:t xml:space="preserve"> The Representatives shall have received an opinion of Ziegler, Ziegler &amp; Associates LLP, counsel for the Depositary, dated the Closing Date, in form and substance reasonably satisfactory to the Representatives.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i w:val="1"/>
          <w:iCs w:val="1"/>
          <w:color w:val="auto"/>
        </w:rPr>
        <w:t>Officer’s Certificate.</w:t>
      </w:r>
      <w:r>
        <w:rPr>
          <w:rFonts w:ascii="Times New Roman" w:cs="Times New Roman" w:eastAsia="Times New Roman" w:hAnsi="Times New Roman"/>
          <w:sz w:val="17"/>
          <w:szCs w:val="17"/>
          <w:color w:val="auto"/>
        </w:rPr>
        <w:t xml:space="preserve"> The Representatives shall have received a certificate, dated the Closing Date, of an executive officer of the Company or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the Closing Date; no stop order suspending the effectiveness of the Registration Statement has been issued and no proceedings for that purpose or pursuant to Section 8A under the Act have been instituted or, to the best of their knowledge and after reasonable investigation, have been contemplated by the Commission; and, subsequent to the respective date of the most recent financial statements in the Registration Statement, the General Disclosure Package and the Final Prospectus, there has been no material adverse change, nor any development or event involving a prospective material adverse change, in the condition (financial or otherwise), results of operations, shareholders’ equity, business, management, properties or prospects of the Company and the Subsidiaries taken as a whole except as set forth in the Registration Statement, the General Disclosure Package and the Final Prospectus or as described in such certificate; such certificate shall include such other matters as the Representatives may reasonably require.</w:t>
      </w:r>
    </w:p>
    <w:p>
      <w:pPr>
        <w:spacing w:after="0" w:line="17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Chief Financial Officer’s Certificate.</w:t>
      </w:r>
      <w:r>
        <w:rPr>
          <w:rFonts w:ascii="Times New Roman" w:cs="Times New Roman" w:eastAsia="Times New Roman" w:hAnsi="Times New Roman"/>
          <w:sz w:val="18"/>
          <w:szCs w:val="18"/>
          <w:color w:val="auto"/>
        </w:rPr>
        <w:t xml:space="preserve"> The Representatives shall have received, dated, respectively, the date hereof and the Closing Date, a certificate, dated such date and signed by the chief financial officer of the Company with respect to certain operating data and financial figures contained in the Registration Statement, the General Disclosure Package and the Final Prospectus, in form and substance satisfactory to the Representatives.</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32" w:name="page33"/>
    <w:bookmarkEnd w:id="32"/>
    <w:p>
      <w:pPr>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xml:space="preserve"> On or prior to the date hereof, the Representatives shall have received lock-up letters from the individuals and entities in Schedule C hereto,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58"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Deposit Agreement.</w:t>
      </w:r>
      <w:r>
        <w:rPr>
          <w:rFonts w:ascii="Times New Roman" w:cs="Times New Roman" w:eastAsia="Times New Roman" w:hAnsi="Times New Roman"/>
          <w:sz w:val="18"/>
          <w:szCs w:val="18"/>
          <w:color w:val="auto"/>
        </w:rPr>
        <w:t xml:space="preserve"> The Deposit Agreement shall be in full force and effect on the Closing Date. The Company and the Depositary shall have taken all actions necessary to permit the deposit of the Ordinary Shares and the issuance of the American Depositary Shares representing such Ordinary Shares in accordance with the Deposit Agreement.</w:t>
      </w:r>
    </w:p>
    <w:p>
      <w:pPr>
        <w:spacing w:after="0" w:line="17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Depositary Certificate.</w:t>
      </w:r>
      <w:r>
        <w:rPr>
          <w:rFonts w:ascii="Times New Roman" w:cs="Times New Roman" w:eastAsia="Times New Roman" w:hAnsi="Times New Roman"/>
          <w:sz w:val="18"/>
          <w:szCs w:val="18"/>
          <w:color w:val="auto"/>
        </w:rPr>
        <w:t xml:space="preserve"> The Depositary shall have furnished or caused to be furnished to the Representatives a certificate satisfactory to the Representatives of one of its authorized officers with respect to the deposit with it of the Ordinary Shares against issuance of the American Depositary Shares, the execution, issuance, countersignature and delivery of the American Depositary Shares pursuant to the Deposit Agreement and such other matters related thereto as the Representatives may reasonably request.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xml:space="preserve"> The ADSs are listed on Nasdaq.</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FINRA Objections.</w:t>
      </w:r>
      <w:r>
        <w:rPr>
          <w:rFonts w:ascii="Times New Roman" w:cs="Times New Roman" w:eastAsia="Times New Roman" w:hAnsi="Times New Roman"/>
          <w:sz w:val="18"/>
          <w:szCs w:val="18"/>
          <w:color w:val="auto"/>
        </w:rPr>
        <w:t xml:space="preserve"> FINRA shall not have raised any objection with respect to the fairness or reasonableness of the underwriting, or other arrangements of the transactions contemplated hereby.</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Requested Information.</w:t>
      </w:r>
      <w:r>
        <w:rPr>
          <w:rFonts w:ascii="Times New Roman" w:cs="Times New Roman" w:eastAsia="Times New Roman" w:hAnsi="Times New Roman"/>
          <w:sz w:val="18"/>
          <w:szCs w:val="18"/>
          <w:color w:val="auto"/>
        </w:rPr>
        <w:t xml:space="preserve"> On the Closing Date, the Representatives and counsel for the Representatives shall have received such information, documents, certificates and opinions as they may reasonably require for the purposes of enabling them to pass upon the accuracy and completeness of any statement in the Registration Statement, the General Disclosure Package and the Final Prospectus, issuance and sale of the Offered Shares as contemplated herein, or in order to evidence the accuracy of any of the representations and warranties, or the satisfaction of any of the conditions or agreements, herein contained.</w:t>
      </w:r>
    </w:p>
    <w:p>
      <w:pPr>
        <w:spacing w:after="0" w:line="183"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color w:val="auto"/>
        </w:rPr>
        <w:t>(u)            </w:t>
      </w:r>
      <w:r>
        <w:rPr>
          <w:rFonts w:ascii="Times New Roman" w:cs="Times New Roman" w:eastAsia="Times New Roman" w:hAnsi="Times New Roman"/>
          <w:sz w:val="17"/>
          <w:szCs w:val="17"/>
          <w:i w:val="1"/>
          <w:iCs w:val="1"/>
          <w:color w:val="auto"/>
        </w:rPr>
        <w:t>No Legal Impediment to Sale</w:t>
      </w:r>
      <w:r>
        <w:rPr>
          <w:rFonts w:ascii="Times New Roman" w:cs="Times New Roman" w:eastAsia="Times New Roman" w:hAnsi="Times New Roman"/>
          <w:sz w:val="17"/>
          <w:szCs w:val="17"/>
          <w:color w:val="auto"/>
        </w:rPr>
        <w:t>. No action shall have been taken and no statute, rule, regulation or order shall have been enacted, adopted or issued by any federal, state or foreign governmental or regulatory authority that would, as of the Closing Date, prevent the sale of the Offered Shares; and no injunction or order of any federal, state or foreign court shall have been issued that would, as of the Closing Date, prevent the sale of the Offered Shares.</w:t>
      </w:r>
    </w:p>
    <w:p>
      <w:pPr>
        <w:spacing w:after="0" w:line="15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Indemnification of Underwriters by Company.</w:t>
      </w:r>
      <w:r>
        <w:rPr>
          <w:rFonts w:ascii="Times New Roman" w:cs="Times New Roman" w:eastAsia="Times New Roman" w:hAnsi="Times New Roman"/>
          <w:sz w:val="17"/>
          <w:szCs w:val="17"/>
          <w:color w:val="auto"/>
        </w:rPr>
        <w:t xml:space="preserve"> The Company will indemnify and hold harmless each Underwriter, its partners, members, directors, officers, employees, agents and each person, if any, who controls such Underwriter within the meaning of Section 15 of the Act or Section 20 of the Exchange Act, each affiliate of any Underwriter within the meaning of Rule 405 under the Act and the directors, officers, employees and agents of such affiliate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from and against any and all losses, claims, damages or liabilities, joint or several, to which such Indemnified Party may become subject, under the Act, the Exchange Act, other Federal or state statutory law or regulation or otherwise, insofar as such losses, claims, damages or liabilities (or suits, actions or proceedings in respect thereof) arise out of or are based upon any untrue statement or alleged untrue statement of any material fact contained in any part of any Registration Statement, the ADS Registration Statement, any Statutory Prospectus, the General Disclosure Package, the Final Prospectus, or any amendment or supplement thereto, any Issuer Free Writing Prospectus, any road show as defined in</w:t>
      </w:r>
    </w:p>
    <w:p>
      <w:pPr>
        <w:spacing w:after="0" w:line="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Rule 433(h) under the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any “issuer information” filed or required to be filed pursuant to Rule 433(d) under the Act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or arise out of or are based upon the omission or alleged omission of a material fact required to be stated therein or necessary to make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the written information furnished to the Company by any Underwriter through the Representatives specifically for use therein, it being understood and agreed that the only such information furnished by any Underwriter consists of the Underwriter Information as defined in subsection (b) below.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3" w:name="page34"/>
    <w:bookmarkEnd w:id="33"/>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non-application of the indemnity provided for in this Section 8(a) in respect of any Indemnified Party shall not affect the application of such indemnity in respect of any other Indemnified Parties.</w:t>
      </w:r>
    </w:p>
    <w:p>
      <w:pPr>
        <w:spacing w:after="0" w:line="16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of Company.</w:t>
      </w:r>
      <w:r>
        <w:rPr>
          <w:rFonts w:ascii="Times New Roman" w:cs="Times New Roman" w:eastAsia="Times New Roman" w:hAnsi="Times New Roman"/>
          <w:sz w:val="18"/>
          <w:szCs w:val="18"/>
          <w:color w:val="auto"/>
        </w:rPr>
        <w:t xml:space="preserve"> Each Underwriter will severally and not jointly indemnify and hold harmless the Company, each of its directors and each of its officers who signs a Registration Statement and each person, if any, who controls the Company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or proceedings in respect thereof) arise out of or are based upon any untrue statement or alleged untrue statement of any material fact contained in any Registration Statement, the ADS Registration Statement, any Statutory Prospectus, the General Disclosure Package, the Final Prospectus, or any amendment or supplement thereto,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it being understood and agreed that the only such information furnished by any Underwriter consists of the following information in the Registration Statement, the General Disclosure Package and the Final Prospectus, as the case may be, furnished on behalf of each Underwriter: the respective names of the Underwriters, the concession figure appearing in the fifth paragraph and the respective addresses of the Representatives appearing in the eleventh, twelfth and thirteenth paragraphs relating to price stabilization, short positions and penalty bids, in each case, under the caption “Underwriting”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xml:space="preserve"> In case any proceeding (including any governmental investigation) shall be instituted involving any person in respect of which indemnity may be sought under subsection (a) or (b) above,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subsection (a) or (b) above. The indemnifying party shall be entitled to participate in such proceeding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investigations.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conflict of interests between them, (iii) the indemnifying party has failed within a reasonable time to retain counsel reasonably satisfactory to the indemnified party or (iv) the indemnified party shall have reasonably concluded that there may be legal defenses available to it that are different from or in addition to those available to the indemnifying party.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their respective partners, members, directors, officers, employees and agents and all persons, if any, who control any Underwriter within the meaning of either Section 15 of the Act or Section 20 of the Exchange Act or who are affiliates of any Underwriter within the meaning of Rule 405 under the Act and (ii) the fees and expenses of more than one separate firm (in addition to any local counsel) for the Company, its directors, its officers who sign the Registration Statement and each person, if any, who controls the Company within the meaning of either Section 15 of the Act or Section 20 of the Exchange Act, and that all such fees and expenses shall be reimbursed as they are incurred. In the case of any such separate firm for the Underwriters, their respective partners, members, directors, officers, employees and agents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third and fourth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or compromise of any pending or threatened action in respect of which any indemnified party is or could have been a party and indemnity could have been sought hereunder by such indemnified party unless such settlement or compromise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xml:space="preserve"> If the indemnification provided for in this Section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Offered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of the Offered Shares (before deducting expenses) received by the Company bear to the total underwriting discounts and commissions received by the Underwriters.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underwriting discounts and commissions received by such Underwriter under this Agreement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Non-Exclusive Remedies.</w:t>
      </w:r>
      <w:r>
        <w:rPr>
          <w:rFonts w:ascii="Times New Roman" w:cs="Times New Roman" w:eastAsia="Times New Roman" w:hAnsi="Times New Roman"/>
          <w:sz w:val="18"/>
          <w:szCs w:val="18"/>
          <w:color w:val="auto"/>
        </w:rPr>
        <w:t xml:space="preserve"> The remedies provided for in this Section 8 are not exclusive and shall not limit any rights or remedies which may otherwise be available to any indemnified party at law or in equity.</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Default of Underwriters</w:t>
      </w:r>
      <w:r>
        <w:rPr>
          <w:rFonts w:ascii="Times New Roman" w:cs="Times New Roman" w:eastAsia="Times New Roman" w:hAnsi="Times New Roman"/>
          <w:sz w:val="18"/>
          <w:szCs w:val="18"/>
          <w:color w:val="auto"/>
        </w:rPr>
        <w:t>. If any Underwriter or Underwriters default in their obligations to purchase Offered Shares hereunder on the Closing Date and the aggregate number of Offered Shares that such defaulting Underwriter or Underwriters agreed but failed to purchase does not exceed 10% of the total number of Offered Shares that the Underwriters are obligated to purchase on the Closing Date, the Representatives may make arrangements satisfactory to the Company for the purchase of such Offered Shares by other persons, including any of the Underwriters, but if no such arrangements are made by the Closing Date, the non-defaulting Underwriters shall be obligated severally, in proportion to their respective commitments hereunder, to purchase the Offered Shares that such defaulting Underwriters agreed but failed to purchase on the Closing Date. If any Underwriter or Underwriters so default and the aggregate number of Offered Shares with respect to which such default or defaults occur exceeds 10% of the total number of Offered Shares that the Underwriters are obligated to purchase on the Closing Date and arrangements satisfactory to the Representatives and the Company for the purchase of such Offered Shares by other persons are not made within 36 hours after such default, this Agreement will terminate without liability on the part of any non-defaulting Underwriter or the Company except as provided in Section 10. In the event of a default by any Underwriter or Underwriters, as set forth in this Section, the Closing Date may be postponed for such period, not exceeding five business days, as the Representatives may determine in order that the required changes in the Registration Statement, the General Disclosure Package, the Final Prospectus or any other documents or other arrangements may be effected. As used in this Agreement, the term “Underwriter” includes any person substituted for an Underwriter under this Section. Nothing herein will relieve a defaulting Underwriter from liability for its default.</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rights of contribution, agreements, representations, warranties and other 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Shares. If the purchase of the Offered Shares by the Underwriters is not consummated for any reason other than solely because of the termination of this Agreement pursuant to Section 9 hereof, the Company will, jointly and severally, reimburse the Underwriters for all out-of-pocket expenses reasonably incurred by them in connection with the offering of the Offered Shares, and the respective obligations of the Company and the Underwriters pursuant to Section 8 hereof shall remain in effect. Upon the Company’s request, the Underwriters shall provide appropriate back-up documentation of specific items of the out-of-pocket expenses to the extent that such documentation is reasonably available. In addition, if any Offered Shares have been purchased hereunder, the representations and warranties in Section 2 and all obligations under Section 5 shall also remain in effect.</w:t>
      </w:r>
    </w:p>
    <w:p>
      <w:pPr>
        <w:spacing w:after="0" w:line="18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communications hereunder will be in writing and, if sent to the Underwriters, will be mailed, delivered or sent and confirmed to the Representatives: Leerink Partners LLC, at 1301 Avenue of the Americas, 5th Floor, New York, New York 10019, Attention: Stuart Nayman; and LifeSci Capital LLC, at 1700 Broadway, 40th Floor, New York, New York 10019, or by email at legalnotices@lifescicapital.com, or if sent to the Company, will be mailed, delivered or sent and confirmed to Adagene Inc., 4F, Building C14, No.218, Xinghu Street, Suzhou Industrial Park, Suzhou, Jiangsu Province, 25125, People’s Republic of China, Attention: Raymond Tam;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notice to an Underwriter pursuant to Section 8 will be mailed, delivered or telegraphed and confirmed to such Underwriter.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and directors and controlling persons referred to in Section 8 and the affiliates of each Underwriter referred to in Section 8, and no other person will have any right or obligation hereunder. Nothing in this Agreement is intended or shall be construed to give any other person any legal or equitable right, remedy or claim under or in respect of this Agreement or any provision contained herein. No purchaser of Offered Shares from any Underwriter shall be deemed to be a successor merely by reason of such purchase.</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Representation</w:t>
      </w:r>
      <w:r>
        <w:rPr>
          <w:rFonts w:ascii="Times New Roman" w:cs="Times New Roman" w:eastAsia="Times New Roman" w:hAnsi="Times New Roman"/>
          <w:sz w:val="18"/>
          <w:szCs w:val="18"/>
          <w:color w:val="auto"/>
        </w:rPr>
        <w:t>. The Representatives will act for the several Underwriters in connection with the transactions contemplated by this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any action under this Agreement taken by the Representatives jointly or by either Representative will be binding upon all the Underwriters.</w:t>
      </w:r>
    </w:p>
    <w:p>
      <w:pPr>
        <w:spacing w:after="0" w:line="20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Delivery of an executed Agreement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Absence of Fiduciary Relationship.</w:t>
      </w:r>
      <w:r>
        <w:rPr>
          <w:rFonts w:ascii="Times New Roman" w:cs="Times New Roman" w:eastAsia="Times New Roman" w:hAnsi="Times New Roman"/>
          <w:sz w:val="18"/>
          <w:szCs w:val="18"/>
          <w:color w:val="auto"/>
        </w:rPr>
        <w:t xml:space="preserve"> The Company acknowledges and agrees that:</w:t>
      </w:r>
    </w:p>
    <w:p>
      <w:pPr>
        <w:spacing w:after="0" w:line="225" w:lineRule="exact"/>
        <w:rPr>
          <w:sz w:val="20"/>
          <w:szCs w:val="20"/>
          <w:color w:val="auto"/>
        </w:rPr>
      </w:pPr>
    </w:p>
    <w:p>
      <w:pPr>
        <w:ind w:right="440"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xml:space="preserve"> The Representatives have been retained solely to act as underwriters in connection with the sale of the Offered Shares and that no fiduciary, advisory or agency relationship between the Company, on the one hand, and the Representatives, on the other, has been created in respect of any of the transactions contemplated by this Agreement or the Final Prospectus, irrespective of whether the Representatives have advised or are advising the Company on other matters, and in connection with the offering of the Offered Shares and the process leading thereto, each Representative is and has been acting solely as a principal and is not the agent or fiduciary of the Company or any of its subsidiaries, or its respective shareholders, creditors, employees or any other party;</w:t>
      </w:r>
    </w:p>
    <w:p>
      <w:pPr>
        <w:spacing w:after="0" w:line="18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Legal, Accounting, Regulatory, Investment or Tax Advice</w:t>
      </w:r>
      <w:r>
        <w:rPr>
          <w:rFonts w:ascii="Times New Roman" w:cs="Times New Roman" w:eastAsia="Times New Roman" w:hAnsi="Times New Roman"/>
          <w:sz w:val="18"/>
          <w:szCs w:val="18"/>
          <w:color w:val="auto"/>
        </w:rPr>
        <w:t>. The Representatives have not provided any legal, accounting, regulatory, investment or tax advice with respect to the offering of the Offered Shares, the Company has consulted its own respective legal, accounting, financial, regulatory and tax advisors to the extent it deemed appropriate, and the Company acknowledges that in connection with the offering of the Offered Shares,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3"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Arm’s Length Negotiations.</w:t>
      </w:r>
      <w:r>
        <w:rPr>
          <w:rFonts w:ascii="Times New Roman" w:cs="Times New Roman" w:eastAsia="Times New Roman" w:hAnsi="Times New Roman"/>
          <w:sz w:val="18"/>
          <w:szCs w:val="18"/>
          <w:color w:val="auto"/>
        </w:rPr>
        <w:t xml:space="preserve"> The price of the Offered Shares set forth in this Agreement was established by the Company following discussions and arm’s length negotiations with the Representatives and the Company is capable of evaluating and understanding and understand and accept the terms, risks and conditions of the transactions contemplated by this Agreement;</w:t>
      </w:r>
    </w:p>
    <w:p>
      <w:pPr>
        <w:spacing w:after="0" w:line="173"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xml:space="preserve"> The Company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7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xml:space="preserve"> No Representative has any obligation to the Company with respect to the offering of Offered Shares except the obligations expressly set forth in this Agreement; the Company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8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irrevocably appoints Cogency Global Inc.,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11,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obligation of the Company pursuant to this Agreement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its directors, officers, affiliates and each person, if any, who controls such Underwriter within the meaning of Section 15 of the Securities Act or Section 20 of the Exchange Act,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Waiver of Immunity</w:t>
      </w:r>
      <w:r>
        <w:rPr>
          <w:rFonts w:ascii="Times New Roman" w:cs="Times New Roman" w:eastAsia="Times New Roman" w:hAnsi="Times New Roman"/>
          <w:sz w:val="18"/>
          <w:szCs w:val="18"/>
          <w:color w:val="auto"/>
        </w:rPr>
        <w:t>. To the extent that the Company has or hereafter may acquire any immunity (sovereign or otherwise) from jurisdiction of any court of (i) the Cayman Islands or the PRC,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18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waives any right to trial by jury in any suit or proceeding arising out of or relating to this Agreement.</w:t>
      </w:r>
    </w:p>
    <w:p>
      <w:pPr>
        <w:spacing w:after="0" w:line="158"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Amendments or Waivers</w:t>
      </w:r>
      <w:r>
        <w:rPr>
          <w:rFonts w:ascii="Times New Roman" w:cs="Times New Roman" w:eastAsia="Times New Roman" w:hAnsi="Times New Roman"/>
          <w:sz w:val="18"/>
          <w:szCs w:val="18"/>
          <w:color w:val="auto"/>
        </w:rPr>
        <w:t>. No amendment or waiver of any provision of this Agreement, nor any consent or approval to any departure therefrom, shall in any event be effective unless the same shall be in writing and signed by the parties hereto.</w:t>
      </w:r>
    </w:p>
    <w:p>
      <w:pPr>
        <w:spacing w:after="0" w:line="15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For purposes of this Section 20: (A) a “</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has the meaning assigned to the term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in, and shall be interpreted in accordance with, 12 U.S.C. § 1841(k); (B)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means any of the following: (i) a “</w:t>
      </w:r>
      <w:r>
        <w:rPr>
          <w:rFonts w:ascii="Times New Roman" w:cs="Times New Roman" w:eastAsia="Times New Roman" w:hAnsi="Times New Roman"/>
          <w:sz w:val="17"/>
          <w:szCs w:val="17"/>
          <w:b w:val="1"/>
          <w:bCs w:val="1"/>
          <w:color w:val="auto"/>
        </w:rPr>
        <w:t>covered entity</w:t>
      </w:r>
      <w:r>
        <w:rPr>
          <w:rFonts w:ascii="Times New Roman" w:cs="Times New Roman" w:eastAsia="Times New Roman" w:hAnsi="Times New Roman"/>
          <w:sz w:val="17"/>
          <w:szCs w:val="17"/>
          <w:color w:val="auto"/>
        </w:rPr>
        <w:t>” as that term is defined in, and interpreted in accordance with, 12 C.F.R. § 252.82(b); (ii) a “</w:t>
      </w:r>
      <w:r>
        <w:rPr>
          <w:rFonts w:ascii="Times New Roman" w:cs="Times New Roman" w:eastAsia="Times New Roman" w:hAnsi="Times New Roman"/>
          <w:sz w:val="17"/>
          <w:szCs w:val="17"/>
          <w:b w:val="1"/>
          <w:bCs w:val="1"/>
          <w:color w:val="auto"/>
        </w:rPr>
        <w:t>covered bank</w:t>
      </w:r>
      <w:r>
        <w:rPr>
          <w:rFonts w:ascii="Times New Roman" w:cs="Times New Roman" w:eastAsia="Times New Roman" w:hAnsi="Times New Roman"/>
          <w:sz w:val="17"/>
          <w:szCs w:val="17"/>
          <w:color w:val="auto"/>
        </w:rPr>
        <w:t>” as that term is defined in, and interpreted in accordance with, 12 C.F.R. § 47.3(b); or</w:t>
      </w:r>
    </w:p>
    <w:p>
      <w:pPr>
        <w:spacing w:after="0" w:line="1" w:lineRule="exact"/>
        <w:rPr>
          <w:sz w:val="20"/>
          <w:szCs w:val="20"/>
          <w:color w:val="auto"/>
        </w:rPr>
      </w:pPr>
    </w:p>
    <w:p>
      <w:pPr>
        <w:ind w:right="60" w:firstLine="8"/>
        <w:spacing w:after="0" w:line="253"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covered FSI</w:t>
      </w:r>
      <w:r>
        <w:rPr>
          <w:rFonts w:ascii="Times New Roman" w:cs="Times New Roman" w:eastAsia="Times New Roman" w:hAnsi="Times New Roman"/>
          <w:sz w:val="18"/>
          <w:szCs w:val="18"/>
          <w:color w:val="auto"/>
        </w:rPr>
        <w:t>”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the Representatives’ understanding of our agreement, kindly sign and return to the Company one of the counterparts hereof, whereupon it will become a binding agreement among the Company and the several Underwriters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dagene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Peter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Peter Luo</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8" w:name="page39"/>
    <w:bookmarkEnd w:id="38"/>
    <w:p>
      <w:pPr>
        <w:ind w:right="4599"/>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as of the date first above written.</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Acting on behalf of themselves and as the Representatives of the</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several Underwriters.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L</w:t>
      </w:r>
      <w:r>
        <w:rPr>
          <w:rFonts w:ascii="Times New Roman" w:cs="Times New Roman" w:eastAsia="Times New Roman" w:hAnsi="Times New Roman"/>
          <w:sz w:val="12"/>
          <w:szCs w:val="12"/>
          <w:color w:val="auto"/>
        </w:rPr>
        <w:t>eerink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artners</w:t>
      </w:r>
      <w:r>
        <w:rPr>
          <w:rFonts w:ascii="Times New Roman" w:cs="Times New Roman" w:eastAsia="Times New Roman" w:hAnsi="Times New Roman"/>
          <w:sz w:val="18"/>
          <w:szCs w:val="18"/>
          <w:color w:val="auto"/>
        </w:rPr>
        <w:t xml:space="preserve"> LLC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Murphy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Murphy Gallagher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L</w:t>
      </w:r>
      <w:r>
        <w:rPr>
          <w:rFonts w:ascii="Times New Roman" w:cs="Times New Roman" w:eastAsia="Times New Roman" w:hAnsi="Times New Roman"/>
          <w:sz w:val="12"/>
          <w:szCs w:val="12"/>
          <w:color w:val="auto"/>
        </w:rPr>
        <w:t>ifesci</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apital</w:t>
      </w:r>
      <w:r>
        <w:rPr>
          <w:rFonts w:ascii="Times New Roman" w:cs="Times New Roman" w:eastAsia="Times New Roman" w:hAnsi="Times New Roman"/>
          <w:sz w:val="18"/>
          <w:szCs w:val="18"/>
          <w:color w:val="auto"/>
        </w:rPr>
        <w:t xml:space="preserve"> LLC</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/s/ Jared Sender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 Jared Sender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20"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4"/>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410"/>
        </w:trPr>
        <w:tc>
          <w:tcPr>
            <w:tcW w:w="35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5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ADSs to</w:t>
            </w: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 Purchased</w:t>
            </w:r>
          </w:p>
        </w:tc>
      </w:tr>
      <w:tr>
        <w:trPr>
          <w:trHeight w:val="209"/>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5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7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4,666,500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Lucid Capital Markes, LLC</w:t>
            </w:r>
          </w:p>
        </w:tc>
        <w:tc>
          <w:tcPr>
            <w:tcW w:w="7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933,300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940" w:type="dxa"/>
            <w:vAlign w:val="bottom"/>
            <w:gridSpan w:val="2"/>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18,666,000</w:t>
            </w:r>
          </w:p>
        </w:tc>
        <w:tc>
          <w:tcPr>
            <w:tcW w:w="10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4"/>
          </w:tcPr>
          <w:p>
            <w:pPr>
              <w:jc w:val="center"/>
              <w:ind w:right="3520"/>
              <w:spacing w:after="0"/>
              <w:rPr>
                <w:sz w:val="20"/>
                <w:szCs w:val="20"/>
                <w:color w:val="auto"/>
              </w:rPr>
            </w:pPr>
            <w:r>
              <w:rPr>
                <w:rFonts w:ascii="Times New Roman" w:cs="Times New Roman" w:eastAsia="Times New Roman" w:hAnsi="Times New Roman"/>
                <w:sz w:val="18"/>
                <w:szCs w:val="18"/>
                <w:color w:val="auto"/>
                <w:w w:val="99"/>
              </w:rPr>
              <w:t>A-1</w:t>
            </w:r>
          </w:p>
        </w:tc>
      </w:tr>
    </w:tbl>
    <w:p>
      <w:pPr>
        <w:sectPr>
          <w:pgSz w:w="11900" w:h="16838" w:orient="portrait"/>
          <w:cols w:equalWidth="0" w:num="1">
            <w:col w:w="11240"/>
          </w:cols>
          <w:pgMar w:left="320" w:top="900" w:right="339" w:bottom="1440" w:gutter="0" w:footer="0" w:header="0"/>
        </w:sectPr>
      </w:pPr>
    </w:p>
    <w:bookmarkStart w:id="40" w:name="page41"/>
    <w:bookmarkEnd w:id="40"/>
    <w:p>
      <w:pPr>
        <w:ind w:left="5032"/>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ind w:left="652" w:right="3079" w:hanging="652"/>
        <w:spacing w:after="0" w:line="532" w:lineRule="auto"/>
        <w:tabs>
          <w:tab w:leader="none" w:pos="328"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General Use Free Writing Prospectuses (included in the General Disclosure Package) </w:t>
      </w:r>
      <w:r>
        <w:rPr>
          <w:rFonts w:ascii="Times New Roman" w:cs="Times New Roman" w:eastAsia="Times New Roman" w:hAnsi="Times New Roman"/>
          <w:sz w:val="17"/>
          <w:szCs w:val="17"/>
          <w:color w:val="auto"/>
        </w:rPr>
        <w:t>“General Use Issuer Free Writing Prospectus” includes each of the following documents:</w:t>
      </w:r>
    </w:p>
    <w:p>
      <w:pPr>
        <w:spacing w:after="0" w:line="1" w:lineRule="exact"/>
        <w:rPr>
          <w:rFonts w:ascii="Times New Roman" w:cs="Times New Roman" w:eastAsia="Times New Roman" w:hAnsi="Times New Roman"/>
          <w:sz w:val="17"/>
          <w:szCs w:val="17"/>
          <w:b w:val="1"/>
          <w:bCs w:val="1"/>
          <w:color w:val="auto"/>
        </w:rPr>
      </w:pPr>
    </w:p>
    <w:p>
      <w:pPr>
        <w:ind w:left="972" w:hanging="324"/>
        <w:spacing w:after="0"/>
        <w:tabs>
          <w:tab w:leader="none" w:pos="9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22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information is also included in the General Disclosure Package:</w:t>
      </w:r>
    </w:p>
    <w:p>
      <w:pPr>
        <w:spacing w:after="0" w:line="225" w:lineRule="exact"/>
        <w:rPr>
          <w:sz w:val="20"/>
          <w:szCs w:val="20"/>
          <w:color w:val="auto"/>
        </w:rPr>
      </w:pPr>
    </w:p>
    <w:p>
      <w:pPr>
        <w:ind w:left="5472" w:right="4059" w:hanging="4824"/>
        <w:spacing w:after="0" w:line="843" w:lineRule="auto"/>
        <w:tabs>
          <w:tab w:leader="none" w:pos="9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Orally communicated initial public offering price of US$3.75 per ADS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0" w:right="1440" w:bottom="1440" w:gutter="0" w:footer="0" w:header="0"/>
        </w:sectPr>
      </w:pPr>
    </w:p>
    <w:bookmarkStart w:id="41" w:name="page42"/>
    <w:bookmarkEnd w:id="41"/>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ind w:left="4792"/>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229" w:lineRule="exact"/>
        <w:rPr>
          <w:sz w:val="20"/>
          <w:szCs w:val="20"/>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named under Item 6.A. of the annual report on Form 20-F for the year 2025.</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Directors named under Item 6.A. of the annual report on Form 20-F for the year of 2025.</w:t>
      </w:r>
    </w:p>
    <w:p>
      <w:pPr>
        <w:spacing w:after="0" w:line="200" w:lineRule="exact"/>
        <w:rPr>
          <w:sz w:val="20"/>
          <w:szCs w:val="20"/>
          <w:color w:val="auto"/>
        </w:rPr>
      </w:pPr>
    </w:p>
    <w:p>
      <w:pPr>
        <w:spacing w:after="0" w:line="253"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LifeSci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 Broadway,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Proposed Public Offering by Adagene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undersigned, an officer and/or director of Adagene Inc.,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Leerink Partners LLC (“</w:t>
      </w:r>
      <w:r>
        <w:rPr>
          <w:rFonts w:ascii="Times New Roman" w:cs="Times New Roman" w:eastAsia="Times New Roman" w:hAnsi="Times New Roman"/>
          <w:sz w:val="18"/>
          <w:szCs w:val="18"/>
          <w:u w:val="single" w:color="auto"/>
          <w:color w:val="auto"/>
        </w:rPr>
        <w:t>Leerink Partners</w:t>
      </w:r>
      <w:r>
        <w:rPr>
          <w:rFonts w:ascii="Times New Roman" w:cs="Times New Roman" w:eastAsia="Times New Roman" w:hAnsi="Times New Roman"/>
          <w:sz w:val="18"/>
          <w:szCs w:val="18"/>
          <w:color w:val="auto"/>
        </w:rPr>
        <w:t>”) and LifeSci Capital LLC (“</w:t>
      </w:r>
      <w:r>
        <w:rPr>
          <w:rFonts w:ascii="Times New Roman" w:cs="Times New Roman" w:eastAsia="Times New Roman" w:hAnsi="Times New Roman"/>
          <w:sz w:val="18"/>
          <w:szCs w:val="18"/>
          <w:u w:val="single" w:color="auto"/>
          <w:color w:val="auto"/>
        </w:rPr>
        <w:t>LifeSci</w:t>
      </w:r>
      <w:r>
        <w:rPr>
          <w:rFonts w:ascii="Times New Roman" w:cs="Times New Roman" w:eastAsia="Times New Roman" w:hAnsi="Times New Roman"/>
          <w:sz w:val="18"/>
          <w:szCs w:val="18"/>
          <w:color w:val="auto"/>
        </w:rPr>
        <w:t>” and together with Leerink Partners,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proposes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providing for the public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1.25 ordinary shares, $0.0001 par value per ordinary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together with the ADSs,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 recognition of the benefit that such an offering will confer upon the undersigned as a stockholder, an officer and/or a director of the Company, and for other good and valuable consideration, the receipt and sufficiency of which are hereby acknowledged, the undersigned agrees with each underwriter to be named in the Underwriting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that, during the period beginning on the date hereof and ending on the date that is 60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without the prior written consent of Leerink Partners, on behalf of the Underwriters, directly or indirectly, (i) offer, pledge, sell, contract to sell, sell any option or contract to purchase, purchase any option or contract to sell, grant any option, right or warrant for the sale of, or otherwise dispose of or transfer any Shares or any securities convertible into or exchangeable or exercisable for Shares,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Shares or other securities, in cash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Lock-Up Securities without the prior written consent of Leerink Partners, provided, in each case, that (1) in the cases of clauses (i)-(v) and (ix) below, the Representatives receives a signed lock-up agreement for the balance of the Lock-Up Period from each donee, trustee, distributee, or transferee, as the case may be, (2) in the case of clauses (i)-(iii),</w:t>
      </w:r>
    </w:p>
    <w:p>
      <w:pPr>
        <w:spacing w:after="0" w:line="1" w:lineRule="exact"/>
        <w:rPr>
          <w:sz w:val="20"/>
          <w:szCs w:val="20"/>
          <w:color w:val="auto"/>
        </w:rPr>
      </w:pPr>
    </w:p>
    <w:p>
      <w:pPr>
        <w:jc w:val="both"/>
        <w:ind w:firstLine="8"/>
        <w:spacing w:after="0" w:line="253" w:lineRule="auto"/>
        <w:tabs>
          <w:tab w:leader="none" w:pos="2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(vi), any such transfer shall not involve a disposition for value, (3) except in the case of gifts pursuant to clause (i) below, such transfers are not required to be reported with the Securities and Exchange Commission on Form 4 in accordance with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(4) in the case of clauses (i)-(iii) and (v), the undersigned does not otherwise voluntarily effect any public filing or report regarding such transfers (other than a filing on a Form 5 made after the expiration of the Lock-Up Period):</w:t>
      </w:r>
    </w:p>
    <w:p>
      <w:pPr>
        <w:spacing w:after="0" w:line="18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any member of the immediate family of the undersigned, (B) any trust for the direct or indirect benefit of the undersigned or the immediate family of the undersigned (for purposes of this lock-up agreement, “immediate family” shall mean any relationship by blood, marriage or adoption, not more remote than first cousin), or (C) an entity beneficially owned and controlled by the undersigned;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distribution or other transfer by a partnership to its partners (including limited partners) or former partners or by a limited liability company to its members or retired members or by a corporation to its stockholders or former stockholders or to any wholly-owned or majority-owned subsidiary of such corporation;</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undersigned’s affiliates (“affiliate” as defined in Rule 12b-2 of the Exchange Act) or to any investment fund or other entity controlled or managed by the undersigned, or is under common control with the undersigned, or (B) to the undersigned;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relations order, or in connection with a divorce settlement, divorce decree or separation agreement or other court or regulatory agency order;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upon the death of the undersigned;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satisfaction of any tax withholding obligation;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exercise of the undersigned’s rights to acquire Shares upon the exercise of options that were granted under the Second Amended and Restated Share Incentive Plan (as amended from time to time)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 and the 2021 Performance Incentive Plan (as amended from time to time) (the “2021 Plan” ) (it being understood that any subsequent sale, transfer or disposition of any Shares issued upon exercise of such options under the 2019 Plan and the 2021 Plan shall be subject to the terms set forth in this letter agreement); 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grantor of the trust if the undersigned is a trust, provided that (A) each transferee shall sign and deliver to the Representatives a lock-up letter substantially in the form of this letter agreement and (B) no filing under the Exchange Act or other public announcements shall be required or shall be voluntarily made during the Lock-up Period.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Furthermore, no provision in this letter shall be deemed to restrict or prohibit (1) the transfer of the undersigned’s Lock-Up Securities to the Company in connection with the termination of the undersigned’s services to the Company, provided that any filing under Section 16 of the Exchange Act made in connection with such transfer shall clearly indicate in the footnotes thereto that the filing relates to the circumstances described in this clause (1);</w:t>
      </w:r>
    </w:p>
    <w:p>
      <w:pPr>
        <w:spacing w:after="0" w:line="1" w:lineRule="exact"/>
        <w:rPr>
          <w:sz w:val="20"/>
          <w:szCs w:val="20"/>
          <w:color w:val="auto"/>
        </w:rPr>
      </w:pPr>
    </w:p>
    <w:p>
      <w:pPr>
        <w:jc w:val="both"/>
        <w:ind w:firstLine="8"/>
        <w:spacing w:after="0" w:line="251"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exercise or exchange by the undersigned of any option or warrant to acquire any Shares or options to purchase Shares, in each case for cash or on a “cashless” or “net exercise” basis, pursuant to any stock option, stock bonus or other stock plan or arrangement; provided, however, that the underlying Shares shall continue to be subject to the restrictions on transfer set forth in this letter and that any filing under Section 16 of the Exchange Act made in connection with such exercise or exchange shall clearly indicate in the footnotes thereto that (a) the filing relates to the circumstances described in this clause (2) and (b) no shares were sold by the reporting person; (3) the transfer of Lock-Up Securities upon the completion of a bona fide third-party tender offer, merger, consolidation or other similar transaction made to all holders of the Company’s securities involving a change of control of the Company (for purposes of this lock-up agreement, “change of control” shall mean the consummation of any bona fide third-party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total voting power of the voting securities of the Company (or the surviving entity)); provided, however, that in the event that such tender offer, merger, consolidation or other such transaction is not completed, such securities held by the undersigned shall remain subject to the restrictions on transfer set forth in this letter; and (4) transfer in connection with the conversion or reclassification of outstanding preferred stock or other classes of capital stock of the Company into Shares, provided that any such shares received upon such conversion shall be subject to the restrictions on transfer set forth in this letter.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8"/>
          <w:szCs w:val="18"/>
          <w:u w:val="single" w:color="auto"/>
          <w:color w:val="auto"/>
        </w:rPr>
        <w:t>10b5-1 Trading Plan</w:t>
      </w:r>
      <w:r>
        <w:rPr>
          <w:rFonts w:ascii="Times New Roman" w:cs="Times New Roman" w:eastAsia="Times New Roman" w:hAnsi="Times New Roman"/>
          <w:sz w:val="18"/>
          <w:szCs w:val="18"/>
          <w:color w:val="auto"/>
        </w:rPr>
        <w:t>”) or from amending an existing 10b5-1 Trading Plan so long as there are no sales of Lock-Up Securities under any such 10b5-1 Trading Plan during the Lock-Up Period; provided, however, that any public announcement or filing under the Exchange Act regarding the establishment or amendment of such 10b5-1 Trading Plan shall clearly disclose that no Shares shall be disposed by such plan during the duration of the Lock-Up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 This lock-up agreement shall automatically terminate, and the undersigned shall be released from the undersigned’s obligations hereunder, upon the earliest to occur, if any, of (i) prior to the execution of the Underwriting Agreement, the Company advises the Representatives in writing that it has determined not to proceed with the Public Offering; (ii) the Underwriting Agreement is executed but is terminated prior to the closing of the Public Offering (other than the provisions thereof which survive termination), or (iii) April 17, 2026, in the event that the Underwriting Agreement has not been executed by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ind w:right="-43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-126365</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-126365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-126365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520"/>
        <w:spacing w:after="0" w:line="284" w:lineRule="auto"/>
        <w:rPr>
          <w:sz w:val="20"/>
          <w:szCs w:val="20"/>
          <w:color w:val="auto"/>
        </w:rPr>
      </w:pPr>
      <w:r>
        <w:rPr>
          <w:rFonts w:ascii="Times New Roman" w:cs="Times New Roman" w:eastAsia="Times New Roman" w:hAnsi="Times New Roman"/>
          <w:sz w:val="18"/>
          <w:szCs w:val="18"/>
          <w:i w:val="1"/>
          <w:iCs w:val="1"/>
          <w:color w:val="auto"/>
        </w:rPr>
        <w:t>(indicate capacity of person signing if signing as custodian, trustee, or on behalf of an entity)</w:t>
      </w:r>
    </w:p>
    <w:p>
      <w:pPr>
        <w:spacing w:after="0" w:line="16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ock</w:t>
      </w:r>
      <w:r>
        <w:rPr>
          <w:rFonts w:ascii="Times New Roman" w:cs="Times New Roman" w:eastAsia="Times New Roman" w:hAnsi="Times New Roman"/>
          <w:sz w:val="18"/>
          <w:szCs w:val="18"/>
          <w:color w:val="auto"/>
        </w:rPr>
        <w:t>-U</w:t>
      </w:r>
      <w:r>
        <w:rPr>
          <w:rFonts w:ascii="Times New Roman" w:cs="Times New Roman" w:eastAsia="Times New Roman" w:hAnsi="Times New Roman"/>
          <w:sz w:val="12"/>
          <w:szCs w:val="12"/>
          <w:color w:val="auto"/>
        </w:rPr>
        <w:t>p</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20"/>
          </w:cols>
          <w:pgMar w:left="1440" w:top="904" w:right="6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02740" cy="334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274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9700" w:type="dxa"/>
            <w:vAlign w:val="bottom"/>
          </w:tcPr>
          <w:p>
            <w:pPr>
              <w:spacing w:after="0"/>
              <w:rPr>
                <w:sz w:val="20"/>
                <w:szCs w:val="20"/>
                <w:color w:val="auto"/>
              </w:rPr>
            </w:pPr>
          </w:p>
        </w:tc>
      </w:tr>
      <w:tr>
        <w:trPr>
          <w:trHeight w:val="225"/>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Paul Aherne</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Brett Basdeo</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John Cartwright</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John Crook</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Mark Cummings</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Natalie Curtis</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James Gaden</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Kevin Ho</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Kristen Kwok</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Wing Lam</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Thomas Pugh</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Andrew Randall</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Victoria Raymond</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Wei Ching Teo</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42424"/>
              </w:rPr>
              <w:t>2 April 2026 </w:t>
            </w:r>
          </w:p>
        </w:tc>
        <w:tc>
          <w:tcPr>
            <w:tcW w:w="9700" w:type="dxa"/>
            <w:vAlign w:val="bottom"/>
          </w:tcPr>
          <w:p>
            <w:pPr>
              <w:ind w:left="6660"/>
              <w:spacing w:after="0"/>
              <w:rPr>
                <w:sz w:val="20"/>
                <w:szCs w:val="20"/>
                <w:color w:val="auto"/>
              </w:rPr>
            </w:pPr>
            <w:r>
              <w:rPr>
                <w:rFonts w:ascii="Times New Roman" w:cs="Times New Roman" w:eastAsia="Times New Roman" w:hAnsi="Times New Roman"/>
                <w:sz w:val="18"/>
                <w:szCs w:val="18"/>
                <w:color w:val="242424"/>
                <w:w w:val="99"/>
              </w:rPr>
              <w:t>Our Ref: MRC/KH/BLUI/A6545-H29150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Vistra (Cayman)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31119 Grand Pavilion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Hibiscus Way, 802 West Bay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Cayman Islands legal advisers to Adagene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for issuance and sale, from time to time, by the Company, through Leerink Partners LLC and LifeSci Capital, LLC as representatives to several underwriters named in the Schedule A of the Underwriting Agreement (as defined below), of an aggregate of 18,666,000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1.25 ordinary shares of a par value of US$0.0001 per ordinary share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contemplated by (i) the Registration Statement (as defined below), (ii) the Base Prospectus (as defined below) and (iii) the Prospectus Supplement (as defined below)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We are furnishing this opinion as exhibit 5.1, 8.1 and 23.1 to the Registration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giving this opinion, we have examined and relied upon the originals, copies or translations of the documents listed in 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this opinion we have relied upon the assumptions set out in Schedule 2, which we have not independently verified.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Cayman Islands Attorneys at Law and express no opinion as to any laws other than the laws of the Cayman Islands in force and as interpreted at the date of this opinion. We have not, for the purposes of this opinion, made any investigation of the laws, rules or regulations of any other jurisdiction. Except as explicitly stated herein, we express no opinion in relation to any representation or warranty contained in any of the documents cited in this opinion nor upon matters of fact or the commercial terms of the transactions the subject of this opinion.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examinations and assumptions stated herein and upon such searches as we have conducted and having regard to legal considerations which we consider relevant, and subject to the qualifications set out in Schedule 3, and under the laws of the Cayman Islands, we give the following opinions in relation to the matters set out below.</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Walkers (Hong Kong)</w:t>
      </w:r>
    </w:p>
    <w:p>
      <w:pPr>
        <w:spacing w:after="0" w:line="171"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auto"/>
        </w:rPr>
        <w:t>滙嘉律師事務所</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香港</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15th Floor, Alexandra House, 18 Chater Road, Central, Hong Kong</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+852 2284 4566</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+852 2284 4560</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Bermuda | British Virgin Islands | Cayman Islands | Dubai | Guernsey | Hong Kong | Ireland | Jersey | London | Singapore</w:t>
      </w:r>
    </w:p>
    <w:p>
      <w:pPr>
        <w:spacing w:after="0" w:line="1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England and Wales;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BVI;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Cayman Islands;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New South Wales (Australia);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Bermuda;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WALKERS</w:t>
      </w:r>
      <w:r>
        <w:rPr>
          <w:sz w:val="20"/>
          <w:szCs w:val="20"/>
          <w:color w:val="auto"/>
        </w:rPr>
        <w:tab/>
      </w:r>
      <w:r>
        <w:rPr>
          <w:rFonts w:ascii="Times New Roman" w:cs="Times New Roman" w:eastAsia="Times New Roman" w:hAnsi="Times New Roman"/>
          <w:sz w:val="17"/>
          <w:szCs w:val="17"/>
          <w:color w:val="auto"/>
        </w:rPr>
        <w:t>Page 2</w:t>
      </w:r>
    </w:p>
    <w:p>
      <w:pPr>
        <w:spacing w:after="0" w:line="241" w:lineRule="exact"/>
        <w:rPr>
          <w:sz w:val="20"/>
          <w:szCs w:val="20"/>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exempted company duly incorporated with limited liability, validly existing under the laws of the Cayman Islands and is in good standing with the Registrar of Companies in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review of the Memorandum and Articles, the Company has an authorised share capital of US$80,000 divided into 800,000,000 shares comprising (i) 640,000,000 Ordinary Shares, and (ii) 160,000,000 shares of a nominal or par value of US$0.0001 each of such class or classes (however designated) as the board of directors may determine in accordance with Article 9 of the Memorandum and Articles (the “</w:t>
      </w:r>
      <w:r>
        <w:rPr>
          <w:rFonts w:ascii="Times New Roman" w:cs="Times New Roman" w:eastAsia="Times New Roman" w:hAnsi="Times New Roman"/>
          <w:sz w:val="18"/>
          <w:szCs w:val="18"/>
          <w:b w:val="1"/>
          <w:bCs w:val="1"/>
          <w:color w:val="auto"/>
        </w:rPr>
        <w:t>Undesignated Shares</w:t>
      </w:r>
      <w:r>
        <w:rPr>
          <w:rFonts w:ascii="Times New Roman" w:cs="Times New Roman" w:eastAsia="Times New Roman" w:hAnsi="Times New Roman"/>
          <w:sz w:val="18"/>
          <w:szCs w:val="18"/>
          <w:color w:val="auto"/>
        </w:rPr>
        <w:t>”). Based on our review of the January 2025 Resolution (as defined in Schedule 1), a certain number of Undesignated Shares were designated as Series A Non-Voting Redeemable Convertible Preferred Shares of a nominal or par value of US$0.0001 each with the rights and obligations set out in the Certificate of Designations (as defined in Schedule 1) and the January 2025 Resolution.</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Offered Shares when (a) the provisions of the Underwriting Agreement approved by the Company’s board of directors have been satisfied and payment of the consideration specified therein (being not less than their par value) has been made; and (b) valid book-entry notations are made in the register of members of the Company, then the Offered Shares, will have been duly authorised and validly issued, fully paid and non-assessable (meaning that no additional sums may be levied on the holder thereof by the Company).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under the caption “Taxation” in the Prospectus forming part of the Registration Statement, to the extent that they constitute statements of Cayman Islands law, are accurate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in, and the filing hereof, as an exhibit to the Registration Statement and further consent to all references to our name in the Registration Statement. In giving such consent, we do not thereby admit that we come within the category of persons whose consent is required under Section 7 of the U.S. Securities Act of 1933, as amended, or the rules and regulations of the Commission promulgated thereunder.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referred to herein and shall not be construed as extending to any other matter or document not referred to herein. This opinion is given solely for your benefit and the benefit of your legal advisers acting in that capacity in relation to this transaction and may not be relied upon by any other person without our prior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shall be construed in accordance with the laws of the Cayman Islands.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WALKERS (HONG KONG)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WALKERS (HONG KONG)</w:t>
      </w:r>
    </w:p>
    <w:p>
      <w:pPr>
        <w:spacing w:after="0" w:line="22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b w:val="1"/>
          <w:bCs w:val="1"/>
          <w:color w:val="auto"/>
        </w:rPr>
        <w:t>Walkers (Hong Kong)</w:t>
      </w:r>
    </w:p>
    <w:p>
      <w:pPr>
        <w:spacing w:after="0" w:line="250" w:lineRule="exact"/>
        <w:rPr>
          <w:sz w:val="20"/>
          <w:szCs w:val="20"/>
          <w:color w:val="auto"/>
        </w:rPr>
      </w:pPr>
    </w:p>
    <w:p>
      <w:pPr>
        <w:jc w:val="right"/>
        <w:spacing w:after="0" w:line="219" w:lineRule="exact"/>
        <w:rPr>
          <w:sz w:val="20"/>
          <w:szCs w:val="20"/>
          <w:color w:val="auto"/>
        </w:rPr>
      </w:pPr>
      <w:r>
        <w:rPr>
          <w:rFonts w:ascii="SimSun" w:cs="SimSun" w:eastAsia="SimSun" w:hAnsi="SimSun"/>
          <w:sz w:val="18"/>
          <w:szCs w:val="18"/>
          <w:color w:val="auto"/>
        </w:rPr>
        <w:t>滙嘉律師事務所</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香港</w:t>
      </w:r>
      <w:r>
        <w:rPr>
          <w:rFonts w:ascii="Times New Roman" w:cs="Times New Roman" w:eastAsia="Times New Roman" w:hAnsi="Times New Roman"/>
          <w:sz w:val="18"/>
          <w:szCs w:val="18"/>
          <w:b w:val="1"/>
          <w:bCs w:val="1"/>
          <w:color w:val="auto"/>
        </w:rPr>
        <w:t>)</w:t>
      </w:r>
    </w:p>
    <w:p>
      <w:pPr>
        <w:spacing w:after="0" w:line="2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15th Floor, Alexandra House, 18 Chater Road, Central, Hong Kong</w:t>
      </w:r>
    </w:p>
    <w:p>
      <w:pPr>
        <w:spacing w:after="0" w:line="23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 xml:space="preserve">T </w:t>
      </w:r>
      <w:r>
        <w:rPr>
          <w:rFonts w:ascii="Times New Roman" w:cs="Times New Roman" w:eastAsia="Times New Roman" w:hAnsi="Times New Roman"/>
          <w:sz w:val="18"/>
          <w:szCs w:val="18"/>
          <w:color w:val="auto"/>
        </w:rPr>
        <w:t>+852 2284 4566</w:t>
      </w:r>
      <w:r>
        <w:rPr>
          <w:rFonts w:ascii="Times New Roman" w:cs="Times New Roman" w:eastAsia="Times New Roman" w:hAnsi="Times New Roman"/>
          <w:sz w:val="18"/>
          <w:szCs w:val="18"/>
          <w:b w:val="1"/>
          <w:bCs w:val="1"/>
          <w:color w:val="auto"/>
        </w:rPr>
        <w:t xml:space="preserve"> F </w:t>
      </w:r>
      <w:r>
        <w:rPr>
          <w:rFonts w:ascii="Times New Roman" w:cs="Times New Roman" w:eastAsia="Times New Roman" w:hAnsi="Times New Roman"/>
          <w:sz w:val="18"/>
          <w:szCs w:val="18"/>
          <w:color w:val="auto"/>
        </w:rPr>
        <w:t>+852 2284 4560</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Bermuda | British Virgin Islands | Cayman Islands | Dubai | Guernsey | Hong Kong | Ireland | Jersey | London | Singapore</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England and Wales;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BVI;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Cayman Islands;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New South Wales (Australia);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WALKERS</w:t>
      </w:r>
      <w:r>
        <w:rPr>
          <w:sz w:val="20"/>
          <w:szCs w:val="20"/>
          <w:color w:val="auto"/>
        </w:rPr>
        <w:tab/>
      </w:r>
      <w:r>
        <w:rPr>
          <w:rFonts w:ascii="Times New Roman" w:cs="Times New Roman" w:eastAsia="Times New Roman" w:hAnsi="Times New Roman"/>
          <w:sz w:val="17"/>
          <w:szCs w:val="17"/>
          <w:color w:val="auto"/>
        </w:rPr>
        <w:t>Page 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DOCUMENTS EXAMINED</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dated 25 February 2011, the Seventh Amended and Restated Memorandum and Articles of Association as adopted by special resolutions passed on 19 January 2021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 the Register of Members printed on 1 April 2026 (the "</w:t>
      </w:r>
      <w:r>
        <w:rPr>
          <w:rFonts w:ascii="Times New Roman" w:cs="Times New Roman" w:eastAsia="Times New Roman" w:hAnsi="Times New Roman"/>
          <w:sz w:val="18"/>
          <w:szCs w:val="18"/>
          <w:b w:val="1"/>
          <w:bCs w:val="1"/>
          <w:color w:val="auto"/>
        </w:rPr>
        <w:t>Register of Members</w:t>
      </w:r>
      <w:r>
        <w:rPr>
          <w:rFonts w:ascii="Times New Roman" w:cs="Times New Roman" w:eastAsia="Times New Roman" w:hAnsi="Times New Roman"/>
          <w:sz w:val="18"/>
          <w:szCs w:val="18"/>
          <w:color w:val="auto"/>
        </w:rPr>
        <w:t>"), Register of Directors and Officers of the Company filed with the Registrar on 21 May 2025, copies of which have been provided to us by the Company (together the "</w:t>
      </w:r>
      <w:r>
        <w:rPr>
          <w:rFonts w:ascii="Times New Roman" w:cs="Times New Roman" w:eastAsia="Times New Roman" w:hAnsi="Times New Roman"/>
          <w:sz w:val="18"/>
          <w:szCs w:val="18"/>
          <w:b w:val="1"/>
          <w:bCs w:val="1"/>
          <w:color w:val="auto"/>
        </w:rPr>
        <w:t>Company Records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Online Registry Information System (CORIS), the Cayman Islands’ General Registry's online database, searched on 31 March 2026.</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Writs and other Originating Process of the Grand Court kept at the Clerk of Court's Office, George Town, Grand Cayman (the </w:t>
      </w:r>
      <w:r>
        <w:rPr>
          <w:rFonts w:ascii="Times New Roman" w:cs="Times New Roman" w:eastAsia="Times New Roman" w:hAnsi="Times New Roman"/>
          <w:sz w:val="18"/>
          <w:szCs w:val="18"/>
          <w:b w:val="1"/>
          <w:bCs w:val="1"/>
          <w:color w:val="auto"/>
        </w:rPr>
        <w:t xml:space="preserve">"Court Register"), </w:t>
      </w:r>
      <w:r>
        <w:rPr>
          <w:rFonts w:ascii="Times New Roman" w:cs="Times New Roman" w:eastAsia="Times New Roman" w:hAnsi="Times New Roman"/>
          <w:sz w:val="18"/>
          <w:szCs w:val="18"/>
          <w:color w:val="auto"/>
        </w:rPr>
        <w:t>as at 9.00 a.m. Cayman Islands time on 31 March 2026 (the</w:t>
      </w:r>
      <w:r>
        <w:rPr>
          <w:rFonts w:ascii="Times New Roman" w:cs="Times New Roman" w:eastAsia="Times New Roman" w:hAnsi="Times New Roman"/>
          <w:sz w:val="18"/>
          <w:szCs w:val="18"/>
          <w:b w:val="1"/>
          <w:bCs w:val="1"/>
          <w:color w:val="auto"/>
        </w:rPr>
        <w:t xml:space="preserve"> "Search Time").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dated 20 March 2026 in respect of the Company issued by the Registrar (the "</w:t>
      </w:r>
      <w:r>
        <w:rPr>
          <w:rFonts w:ascii="Times New Roman" w:cs="Times New Roman" w:eastAsia="Times New Roman" w:hAnsi="Times New Roman"/>
          <w:sz w:val="18"/>
          <w:szCs w:val="18"/>
          <w:b w:val="1"/>
          <w:bCs w:val="1"/>
          <w:color w:val="auto"/>
        </w:rPr>
        <w:t>Certificate of Good Standing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executed minutes of a meeting of the board of directors of the Company held on 27 January 2025 (the "</w:t>
      </w:r>
      <w:r>
        <w:rPr>
          <w:rFonts w:ascii="Times New Roman" w:cs="Times New Roman" w:eastAsia="Times New Roman" w:hAnsi="Times New Roman"/>
          <w:sz w:val="18"/>
          <w:szCs w:val="18"/>
          <w:b w:val="1"/>
          <w:bCs w:val="1"/>
          <w:color w:val="auto"/>
        </w:rPr>
        <w:t>January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executed minutes of a meeting of the board of directors of the Company held on 20 March 2026 and the minutes of a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pricing committee established by the board of directors of the Company dated 1 April 2026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designations of preferences, rights and limitations of Series A Non-Voting Redeemable Convertible Preferred Shares dated 2 July 2025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registration statement on Form F-3 (File No. 333-287161) initially filed by the Company with the United States Securities and Exchange Commission on 31 October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prospectus contained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prospectus supplement dated 1 April 2026 relating to the offer and sale of the Offered Shares in the form of ADSs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dated 2 April 2026 relating to the offer and sale of the Offered Shares in the form of ADSs pursuant to the Underwriting Agreement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underwriting agreement dated 2 April 2026 between the Company, Leerink Partners LLC and LifeSci Capital, LLC as representatives of several underwriters named in the Schedule A thereto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9" w:name="page50"/>
    <w:bookmarkEnd w:id="49"/>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WALKERS</w:t>
      </w:r>
      <w:r>
        <w:rPr>
          <w:sz w:val="20"/>
          <w:szCs w:val="20"/>
          <w:color w:val="auto"/>
        </w:rPr>
        <w:tab/>
      </w:r>
      <w:r>
        <w:rPr>
          <w:rFonts w:ascii="Times New Roman" w:cs="Times New Roman" w:eastAsia="Times New Roman" w:hAnsi="Times New Roman"/>
          <w:sz w:val="17"/>
          <w:szCs w:val="17"/>
          <w:color w:val="auto"/>
        </w:rPr>
        <w:t>Page 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authorisations, approvals, consents, licences and exemptions required by, and all filings and other steps required of each of the parties to the Registration Statement outside the Cayman Islands to ensure the legality, validity and enforceability of the Registration Statement have been or will be duly obtained, made or fulfilled and are and will remain in full force and effect and any conditions to which they are subject have been satisfied.</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are and shall remain in full force and effect and have not been and will not be rescinded or amended.</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originals of all documents examined in connection with this opinion are authentic. The documents conform in every material respect to the latest draft of the same produced to us and, where provided in successive drafts, have been marked up to indicate all changes to such documents.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documents or agreements referred to therein have been or will be duly authorised, executed and delivered by or on behalf of all relevant parties prior to the issue and sale of the Offered Shares and will be legal, valid, binding and enforceable against all relevant parties in accordance with their terms.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issue of the Offered Shares, the Company shall have sufficient authorised but unissued share capital available.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adopted at duly convened meetings of the board of directors or a duly convened meeting of the pricing committee of the Company and such meetings were held and conducted in accordance with the Memorandum and Articles.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on issue of the relevant Offered Shares receive, consideration in money or money’s worth for each share when issued, such consideration in any event not being less than the stated par or nominal value of each share.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on issue of the relevant Offered Shares have, issued and sold the shares in the manner contemplated by the Registration Statement, the Prospectus and the Prospectus Supplement and the documents or agreements referred to therein and otherwise in compliance with all applicable laws.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nothing under any law (other than the laws of the Cayman Islands) which would or might affect any of the opinions set forth herein.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 of attorney given to execute any document or Resolutions was duly executed, the named attorneys were duly appointed with full power granted to each of them and the power of attorney remains in full force and effect and have not been revoked or varied.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WALKERS</w:t>
      </w:r>
      <w:r>
        <w:rPr>
          <w:sz w:val="20"/>
          <w:szCs w:val="20"/>
          <w:color w:val="auto"/>
        </w:rPr>
        <w:tab/>
      </w:r>
      <w:r>
        <w:rPr>
          <w:rFonts w:ascii="Times New Roman" w:cs="Times New Roman" w:eastAsia="Times New Roman" w:hAnsi="Times New Roman"/>
          <w:sz w:val="17"/>
          <w:szCs w:val="17"/>
          <w:color w:val="auto"/>
        </w:rPr>
        <w:t>Page 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enforceable</w:t>
      </w:r>
      <w:r>
        <w:rPr>
          <w:rFonts w:ascii="Times New Roman" w:cs="Times New Roman" w:eastAsia="Times New Roman" w:hAnsi="Times New Roman"/>
          <w:sz w:val="18"/>
          <w:szCs w:val="18"/>
          <w:color w:val="auto"/>
        </w:rPr>
        <w:t>" and its cognates as used in this opinion means that the obligations assumed by any party under the documents are of a type which the Courts enforce. This does not mean that those obligations will necessarily be enforced in all circumstances in accordance with their terms. In particular:</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obligations and the priority of obligations may be limited by bankruptcy, insolvency, liquidation, restructuring, reorganisation, readjustment of debts or moratorium and other laws of general application relating to or affecting the rights of creditors or by prescription or lapse of time;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general principles of equity and, in particular, the availability of certain equitable remedies such as injunction or specific performance of an obligation may be limited where a Court considers damages to be an adequate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may become barred under statutes of limitation or may be or become subject to defences of set-off, counterclaim, estoppel and similar defences;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or contrary to the public policy of, that jurisdiction;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of a Court may be required to be made in Cayman Islands dollars;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provision of the documents is adjudicated to be penal in nature, it will not be enforceable in the Courts; in particular, the enforceability of any provision of the documents that is adjudicated to constitute a secondary obligation which imposes a detriment on the contract-breaker out of all proportion to any legitimate interest of the innocent party in the enforcement of the primary obligation may be limited;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performance of any obligation arising under the documents would be fraudulent or contrary to public policy, it will not be enforceable in the Courts;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insolvent liquidation of any of the companies, its liabilities are required to be translated into the functional currency of such Company (being the currency of the primary economic environment in which it operated as at the commencement of the liquidation) at the exchange rates prevailing on the date of commencement of the voluntary liquidation or the day on which the winding up order is made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WALKERS</w:t>
      </w:r>
      <w:r>
        <w:rPr>
          <w:sz w:val="20"/>
          <w:szCs w:val="20"/>
          <w:color w:val="auto"/>
        </w:rPr>
        <w:tab/>
      </w:r>
      <w:r>
        <w:rPr>
          <w:rFonts w:ascii="Times New Roman" w:cs="Times New Roman" w:eastAsia="Times New Roman" w:hAnsi="Times New Roman"/>
          <w:sz w:val="17"/>
          <w:szCs w:val="17"/>
          <w:color w:val="auto"/>
        </w:rPr>
        <w:t>Page 6</w:t>
      </w:r>
    </w:p>
    <w:p>
      <w:pPr>
        <w:spacing w:after="0" w:line="200" w:lineRule="exact"/>
        <w:rPr>
          <w:sz w:val="20"/>
          <w:szCs w:val="20"/>
          <w:color w:val="auto"/>
        </w:rPr>
      </w:pPr>
    </w:p>
    <w:p>
      <w:pPr>
        <w:spacing w:after="0" w:line="257" w:lineRule="exact"/>
        <w:rPr>
          <w:sz w:val="20"/>
          <w:szCs w:val="20"/>
          <w:color w:val="auto"/>
        </w:rPr>
      </w:pPr>
    </w:p>
    <w:p>
      <w:pPr>
        <w:ind w:left="1300" w:hanging="644"/>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will not necessarily award costs in litigation in accordance with contractual provisions in this regard;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terms in the documents excusing any party from a liability or duty otherwise owed or indemnifying that party from the consequences of incurring such liability or breaching such duty shall be construed in accordance with, and shall be limited by, applicable law, including generally applicable rules and principles of common law and equity.</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as to good standing is based solely upon receipt of the Certificate of Good Standing issued by the Registrar. The Company shall be deemed to be in good standing under section 200A of the Companies Act (as amended) of the Cayman Islands on the date of issue of the certificate if all fees and penalties under the Companies Act have been paid and the Registrar has no knowledge that the Company is in default under the Companies Act.</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upon any provisions in the Memorandum and Articles or any document which contains a reference to any law or statute that is not a Cayman Islands law or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10240"/>
        <w:spacing w:after="0"/>
        <w:rPr>
          <w:sz w:val="20"/>
          <w:szCs w:val="20"/>
          <w:color w:val="auto"/>
        </w:rPr>
      </w:pPr>
      <w:r>
        <w:rPr>
          <w:rFonts w:ascii="Times New Roman" w:cs="Times New Roman" w:eastAsia="Times New Roman" w:hAnsi="Times New Roman"/>
          <w:sz w:val="21"/>
          <w:szCs w:val="21"/>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175260</wp:posOffset>
            </wp:positionV>
            <wp:extent cx="1817370" cy="462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173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34/F, Tower 3, China Central Place, 77 Jianguo Road, Beijing 100025, China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(86-10) 5809 1000 F: (86-10) 5809 1100</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Adagene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4F, Building C14, No. 218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Xinghu Street, Suzhou Industrial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Jiangsu Province, 215123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Legal Opinion Regarding Certain PRC Law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We are qualified lawyers of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and are qualified to issue an opinion on the laws and regulations of the PRC (for the purposes of this opinion, excluding Hong Kong Special Administrative Region, Macau Special Administrative Region and Taiwan).</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PRC counsel to Adagene Inc., a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respect to the Company’s registration statement on Form F-3 (File No. 333-287161)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is initially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May 9, 2025, including all amendments or supplements thereto, you have requested us to furnish an opinion to you as to the matters hereinafter set forth.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Documents Examined, Definition and Information Provided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furnishing of this opinion, we have examined copies, certified or otherwise identified to our satisfaction, of documents provided by the Company, and such other documents, the Registration Statement, corporate records, certificates, approvals and other instruments as we have deemed necessary for the purpose of rendering this opinion, including, without limitation, originals or copies of the certificates issued by PRC government authorities and officers of the Company. All of these documents are hereinafter collectively referred to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of this opinion otherwise provides, the following terms in this opinion shall have the meanings set forth below:</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mean all approvals, consents, permits, authorizations, filings, registrations, exemptions, certificates, permissions, waiver, endorsement, annual inspection, qualifications or license required by the applicable PRC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Company</w:t>
      </w:r>
      <w:r>
        <w:rPr>
          <w:rFonts w:ascii="Times New Roman" w:cs="Times New Roman" w:eastAsia="Times New Roman" w:hAnsi="Times New Roman"/>
          <w:sz w:val="18"/>
          <w:szCs w:val="18"/>
          <w:color w:val="auto"/>
        </w:rPr>
        <w:t>” means Adagene (Suzhou) Limited, which is a company incorporated in accordance with the PRC 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 Laws</w:t>
      </w:r>
      <w:r>
        <w:rPr>
          <w:rFonts w:ascii="Times New Roman" w:cs="Times New Roman" w:eastAsia="Times New Roman" w:hAnsi="Times New Roman"/>
          <w:sz w:val="18"/>
          <w:szCs w:val="18"/>
          <w:color w:val="auto"/>
        </w:rPr>
        <w:t>” mean the published and publicly available PRC laws, regulations, rules and judicial interpretations announced by the PRC Supreme People’s Court available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prospectus, including all amendments or supplements thereto, that forms part of the Registration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set forth in the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t>
      </w:r>
      <w:r>
        <w:rPr>
          <w:rFonts w:ascii="Times New Roman" w:cs="Times New Roman" w:eastAsia="Times New Roman" w:hAnsi="Times New Roman"/>
          <w:sz w:val="18"/>
          <w:szCs w:val="18"/>
          <w:b w:val="1"/>
          <w:bCs w:val="1"/>
          <w:u w:val="single" w:color="auto"/>
          <w:color w:val="auto"/>
        </w:rPr>
        <w:t>  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examination of the aforesaid Documents, we have assumed, without independent investigation and inquiry that:</w:t>
      </w:r>
    </w:p>
    <w:p>
      <w:pPr>
        <w:spacing w:after="0" w:line="225"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1.     all signatures, seals and chops are genuine and were made or affixed by representatives duly authorized by the respective parties, all natural persons have the necessary legal capacity, all Documents submitted to us as originals are authentic, and all Documents submitted to us as certified or photo static copies conform to the originals;</w:t>
      </w:r>
    </w:p>
    <w:p>
      <w:pPr>
        <w:spacing w:after="0" w:line="176"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2.     no amendments, revisions, modifications or other changes have been made with respect to any of the Documents after they were submitted to us for the purposes of this opinion and any Document submitted to us is effective and has not been varied, revoked, withheld, cancelled or superseded by some other documents or agreements or action of which we are not aware after due inquiry;</w:t>
      </w:r>
    </w:p>
    <w:p>
      <w:pPr>
        <w:spacing w:after="0" w:line="176"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3.     each of the parties to the Documents (except that we do not make such assumptions about the PRC Company) is duly organized and validly existing in good standing under the laws of its jurisdiction of organization and/or incorporation, and has been duly approved and authorized where applicable by the competent governmental authorities of the relevant jurisdiction to carry on its business and to perform its obligations under the Documents to which it is a party;</w:t>
      </w:r>
    </w:p>
    <w:p>
      <w:pPr>
        <w:spacing w:after="0" w:line="180"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4.     the truthfulness, accuracy and completeness of all factual statements in the Documents submitted and made available to us up to the date of this opinion. Where certain facts were not independently verified by us in order to render this opinion, we have relied upon the Documents issued by the PRC government agencies and representatives of the Company and the PRC Company with proper authority, and also upon representations, oral or written, made in, or pursuant to, the Documents;</w:t>
      </w:r>
    </w:p>
    <w:p>
      <w:pPr>
        <w:spacing w:after="0" w:line="180"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5.     all facts and Documents which may affect this opinion herein have been disclosed to us, and there has not been or will not be any omission in respect of such disclosure;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all Governmental Authorizations and other official documentations were obtained from the competent PRC government agencies by lawful means.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expressing the opinions set forth herein, we have relied upon the factual matters contained in the representations and warranties set forth in the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w:t>
      </w:r>
      <w:r>
        <w:rPr>
          <w:rFonts w:ascii="Times New Roman" w:cs="Times New Roman" w:eastAsia="Times New Roman" w:hAnsi="Times New Roman"/>
          <w:sz w:val="18"/>
          <w:szCs w:val="18"/>
          <w:b w:val="1"/>
          <w:bCs w:val="1"/>
          <w:u w:val="single" w:color="auto"/>
          <w:color w:val="auto"/>
        </w:rPr>
        <w:t>  Opinion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we are of the opinion that: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1. With Respect to the Corporate Structure</w:t>
      </w:r>
    </w:p>
    <w:p>
      <w:pPr>
        <w:spacing w:after="0" w:line="22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description of the ownership structure described under the caption “Corporate History and Structure” incorporated by reference in the Prospectus is true and accurate in all material respects and insofar as related to PRC Laws, nothing has been omitted from such description which would make the same misleading in any material respects. The ownership structures of the PRC Company as described in the Prospectus comply, and immediately after giving effect of the offering of securities described in the Registration Statement will comply, with all applicable PRC Laws, and do not violate, breach, or otherwise conflict with any applicable PRC Laws, except as disclosed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i w:val="1"/>
          <w:iCs w:val="1"/>
          <w:color w:val="auto"/>
        </w:rPr>
        <w:t>2. Taxation</w:t>
      </w:r>
    </w:p>
    <w:p>
      <w:pPr>
        <w:spacing w:after="0" w:line="22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statements set forth under the caption “Taxation” in the Prospectus, insofar as they constitute statements of PRC tax law, are accurate in all material respects and that such statements constitute our opinion, and insofar as related to PRC Laws nothing has been omitted from such statements which would make the same misleading in all material respects.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use of this opinion in, and the filing hereof as an exhibit to, the Registration Statement, and to the use of our firm’s name under the captions “Recent Regulatory Developments”, “Transfer of Funds and Other Assets”, “Enforceability of Civil Liabilities”, “Taxation” and “Legal Matters” in the Registration Statement.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Adagene Announces Pricing of US$70.0 Million Public Offering of ADSs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SAN DIEGO and SUZHOU, China, April 2, 2026 (GLOBE NEWSWIRE) -- Adagene Inc. (“Adagene” or the “Company”) (Nasdaq: ADAG), a company committed to transforming the discovery and development of novel antibody-based therapies, today announced the pricing of its underwritten public offering of 18,666,000 American depositary shares, or ADSs, each representing 1.25 ordinary shares of the Company, par value US$0.0001 per share, at the offering price of US$3.75 per ADS, representing the 30-day volume-weighted average price (“VWAP”).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gross proceeds to Adagene from the offering are expected to be approximately US$</w:t>
      </w:r>
      <w:r>
        <w:rPr>
          <w:rFonts w:ascii="Times New Roman" w:cs="Times New Roman" w:eastAsia="Times New Roman" w:hAnsi="Times New Roman"/>
          <w:sz w:val="18"/>
          <w:szCs w:val="18"/>
          <w:color w:val="231F20"/>
        </w:rPr>
        <w:t>70.0 million, before deducting underwriting discount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offering expenses. The offering is expected to close on April 6, 2026, subject to the satisfaction of customary closing conditions.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Leerink Partners and LifeSci Capital are acting as joint book-running managers for the offering. Lucid Capital Markets is acting as co-manager for the offering.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offering featured participation from new and existing investors including Janus Henderson Investors, Deerfield Management, Invus, Sirenia and Columbia Threadneedle Investments, among others.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offering is being made pursuant to a shelf registration statement on Form F-3, including a base prospectus, that was initially filed with the Securities and Exchange Commission (SEC) on May 9, 2025 and became effective on May 30, 2026. A prospectus supplement and accompanying prospectus relating to the offering will be filed with the SEC and will be available for free on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of the prospectus relating to the offering may be obtained, when available, from: Leerink Partners LLC, Attention: Syndicate Department, 53 State Street, 40th Floor, Boston, Massachusetts 02109, by telephone at (800) 808-7525, ext. 6105, or by email at syndicate@leerink.com; or LifeSci Capital LLC, 1700 Broadway, 40th Floor, New York, New York 10019, or by email at legalnotices@lifescicapital.com.</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Adagene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but not limited to, statements relating to the satisfaction of customary closing conditions related to the offering, the expected closing of the offering and the anticipated gross proceeds from the offering and Adagene’s intended use of the net proceeds therefrom. Actual results may differ materially from those indicated in the forward-looking statements due to the risks and uncertainties associated with market conditions and the satisfaction of customary closing conditions related to the offering, as well as risks and uncertainties inherent in Adagene’s business described in the Company’s prior press releases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Tam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raymond_tam@adagene.com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Corey Davis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cdavis@lifesciadvisors.com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Rocco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Elixir Health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862-596-1304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lrocco@elixirhealthpr.com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Roman"/>
      <w:start w:val="2"/>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1)"/>
      <w:numFmt w:val="lowerRoman"/>
      <w:start w:val="7"/>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Roman"/>
      <w:start w:val="3"/>
    </w:lvl>
  </w:abstractNum>
  <w:abstractNum w:abstractNumId="7">
    <w:nsid w:val="3352255A"/>
    <w:multiLevelType w:val="hybridMultilevel"/>
    <w:lvl w:ilvl="0">
      <w:lvlJc w:val="left"/>
      <w:lvlText w:val="%1."/>
      <w:numFmt w:val="decimal"/>
      <w:start w:val="1"/>
    </w:lvl>
    <w:lvl w:ilvl="1">
      <w:lvlJc w:val="left"/>
      <w:lvlText w:val="%2."/>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5"/>
    </w:lvl>
    <w:lvl w:ilvl="1">
      <w:lvlJc w:val="left"/>
      <w:lvlText w:val="(%2)"/>
      <w:numFmt w:val="lowerRoman"/>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9"/>
    </w:lvl>
  </w:abstractNum>
  <w:abstractNum w:abstractNumId="17">
    <w:nsid w:val="431BD7B7"/>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2026-04-02T06:16:47Z</dcterms:created>
  <dcterms:modified xsi:type="dcterms:W3CDTF">2026-04-02T06:16:47Z</dcterms:modified>
</cp:coreProperties>
</file>