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 CUONG V</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Adagene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ADAG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4F, BUILDING C14, NO. 218</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XINGHU STREET</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46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SUZHOU</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215123</w:t>
            </w:r>
          </w:p>
        </w:tc>
        <w:tc>
          <w:tcPr>
            <w:tcW w:w="0" w:type="dxa"/>
            <w:vAlign w:val="bottom"/>
          </w:tcPr>
          <w:p>
            <w:pPr>
              <w:spacing w:after="0"/>
              <w:rPr>
                <w:sz w:val="1"/>
                <w:szCs w:val="1"/>
                <w:color w:val="auto"/>
              </w:rPr>
            </w:pPr>
          </w:p>
        </w:tc>
      </w:tr>
      <w:tr>
        <w:trPr>
          <w:trHeight w:val="134"/>
        </w:trPr>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JIANGSU</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1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11/28/2032</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40,000</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20"/>
                <w:szCs w:val="20"/>
                <w:color w:val="0000FF"/>
              </w:rPr>
              <w:t>0.8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10/26/2033</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50,000</w:t>
            </w: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20"/>
                <w:szCs w:val="20"/>
                <w:color w:val="0000FF"/>
              </w:rPr>
              <w:t>1.07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40,000 of time-based stock options granted on 11/28/2022 under the Adagene Inc. 2021 Performance Incentive Plan. 20,000 shares became exercisable on the first and second anniversaries from the grant date respectively, so all such option are fully vested and exercisable.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Up to 50,000 of performance-based stock options granted on 10/26/2023 under the Adagene Inc. 2021 Performance Incentive Plan, the options shall become exercisable upon achieving the relevant performance milestones.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Cuong Do</w:t>
            </w:r>
          </w:p>
        </w:tc>
        <w:tc>
          <w:tcPr>
            <w:tcW w:w="11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77037" TargetMode="External"/><Relationship Id="rId11" Type="http://schemas.openxmlformats.org/officeDocument/2006/relationships/hyperlink" Target="http://www.sec.gov/cgi-bin/browse-edgar?action=getcompany&amp;CIK=0001818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2026-03-18T08:02:46Z</dcterms:created>
  <dcterms:modified xsi:type="dcterms:W3CDTF">2026-03-18T08:02:46Z</dcterms:modified>
</cp:coreProperties>
</file>